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78D3A" w14:textId="0E38F217" w:rsidR="00AC70B3" w:rsidRPr="0015449C" w:rsidRDefault="0015449C" w:rsidP="005673B7">
      <w:pPr>
        <w:pStyle w:val="ae"/>
      </w:pPr>
      <w:r w:rsidRPr="0015449C">
        <w:rPr>
          <w:rFonts w:hint="eastAsia"/>
        </w:rPr>
        <w:t>D</w:t>
      </w:r>
      <w:r w:rsidR="00AC70B3" w:rsidRPr="0015449C">
        <w:t>escriptive analysis</w:t>
      </w:r>
    </w:p>
    <w:p w14:paraId="45C2E399" w14:textId="770AAA59" w:rsidR="005673B7" w:rsidRPr="0015449C" w:rsidRDefault="00AC70B3" w:rsidP="0015449C">
      <w:pPr>
        <w:pStyle w:val="ae"/>
        <w:rPr>
          <w:b w:val="0"/>
          <w:bCs/>
          <w:highlight w:val="yellow"/>
        </w:rPr>
      </w:pPr>
      <w:r w:rsidRPr="005673B7">
        <w:rPr>
          <w:b w:val="0"/>
          <w:bCs/>
        </w:rPr>
        <w:t>To comprehensively understand the burden of three types of skin cancer, we conducted a descriptive analysis. The number and age-standardized rates (ASR) of global deaths, DALYs, incidence, and prevalence were visually displayed. We compared the burden of MSM, SCC and BCC in 2021 at global, regional, and national levels. In addition, we also described the differences among different types of three skin cancers, as well as the differences in age and gender.</w:t>
      </w:r>
      <w:r w:rsidR="0015449C">
        <w:rPr>
          <w:rFonts w:hint="eastAsia"/>
          <w:b w:val="0"/>
          <w:bCs/>
        </w:rPr>
        <w:t xml:space="preserve"> </w:t>
      </w:r>
      <w:r w:rsidR="005673B7" w:rsidRPr="0015449C">
        <w:rPr>
          <w:rFonts w:hint="eastAsia"/>
          <w:b w:val="0"/>
          <w:bCs/>
          <w:highlight w:val="yellow"/>
        </w:rPr>
        <w:t>T</w:t>
      </w:r>
      <w:r w:rsidR="005673B7" w:rsidRPr="0015449C">
        <w:rPr>
          <w:b w:val="0"/>
          <w:bCs/>
          <w:highlight w:val="yellow"/>
        </w:rPr>
        <w:t xml:space="preserve">he burden levels and trends of diseases were estimated by the ASRs (including ASDR, </w:t>
      </w:r>
      <w:r w:rsidR="005673B7" w:rsidRPr="0015449C">
        <w:rPr>
          <w:rFonts w:hint="eastAsia"/>
          <w:b w:val="0"/>
          <w:bCs/>
          <w:highlight w:val="yellow"/>
        </w:rPr>
        <w:t xml:space="preserve">ASDALYs, ASIR </w:t>
      </w:r>
      <w:r w:rsidR="005673B7" w:rsidRPr="0015449C">
        <w:rPr>
          <w:b w:val="0"/>
          <w:bCs/>
          <w:highlight w:val="yellow"/>
        </w:rPr>
        <w:t>and AS</w:t>
      </w:r>
      <w:r w:rsidR="005673B7" w:rsidRPr="0015449C">
        <w:rPr>
          <w:rFonts w:hint="eastAsia"/>
          <w:b w:val="0"/>
          <w:bCs/>
          <w:highlight w:val="yellow"/>
        </w:rPr>
        <w:t>PR</w:t>
      </w:r>
      <w:r w:rsidR="005673B7" w:rsidRPr="0015449C">
        <w:rPr>
          <w:b w:val="0"/>
          <w:bCs/>
          <w:highlight w:val="yellow"/>
        </w:rPr>
        <w:t>). Considered a</w:t>
      </w:r>
      <w:r w:rsidR="005673B7" w:rsidRPr="0015449C">
        <w:rPr>
          <w:b w:val="0"/>
          <w:bCs/>
          <w:highlight w:val="yellow"/>
          <w:vertAlign w:val="subscript"/>
        </w:rPr>
        <w:t>i</w:t>
      </w:r>
      <w:r w:rsidR="005673B7" w:rsidRPr="0015449C">
        <w:rPr>
          <w:b w:val="0"/>
          <w:bCs/>
          <w:highlight w:val="yellow"/>
        </w:rPr>
        <w:t xml:space="preserve"> as the age-specific rate for the age class, </w:t>
      </w:r>
      <w:proofErr w:type="spellStart"/>
      <w:r w:rsidR="005673B7" w:rsidRPr="0015449C">
        <w:rPr>
          <w:b w:val="0"/>
          <w:bCs/>
          <w:highlight w:val="yellow"/>
        </w:rPr>
        <w:t>w</w:t>
      </w:r>
      <w:r w:rsidR="005673B7" w:rsidRPr="0015449C">
        <w:rPr>
          <w:b w:val="0"/>
          <w:bCs/>
          <w:highlight w:val="yellow"/>
          <w:vertAlign w:val="subscript"/>
        </w:rPr>
        <w:t>i</w:t>
      </w:r>
      <w:proofErr w:type="spellEnd"/>
      <w:r w:rsidR="005673B7" w:rsidRPr="0015449C">
        <w:rPr>
          <w:b w:val="0"/>
          <w:bCs/>
          <w:highlight w:val="yellow"/>
        </w:rPr>
        <w:t xml:space="preserve"> denotes the numbers (or weights) for the same age class </w:t>
      </w:r>
      <w:proofErr w:type="spellStart"/>
      <w:r w:rsidR="005673B7" w:rsidRPr="0015449C">
        <w:rPr>
          <w:b w:val="0"/>
          <w:bCs/>
          <w:highlight w:val="yellow"/>
        </w:rPr>
        <w:t>i</w:t>
      </w:r>
      <w:proofErr w:type="spellEnd"/>
      <w:r w:rsidR="005673B7" w:rsidRPr="0015449C">
        <w:rPr>
          <w:b w:val="0"/>
          <w:bCs/>
          <w:highlight w:val="yellow"/>
        </w:rPr>
        <w:t xml:space="preserve"> of the selected reference standard population, the truncated ASR could be</w:t>
      </w:r>
      <w:r w:rsidR="005673B7" w:rsidRPr="0015449C">
        <w:rPr>
          <w:rFonts w:hint="eastAsia"/>
          <w:b w:val="0"/>
          <w:bCs/>
          <w:highlight w:val="yellow"/>
        </w:rPr>
        <w:t xml:space="preserve"> </w:t>
      </w:r>
      <w:r w:rsidR="005673B7" w:rsidRPr="0015449C">
        <w:rPr>
          <w:b w:val="0"/>
          <w:bCs/>
          <w:highlight w:val="yellow"/>
        </w:rPr>
        <w:t>calculated as the following formula:</w:t>
      </w:r>
    </w:p>
    <w:p w14:paraId="60A23162" w14:textId="52BDCDB9" w:rsidR="005673B7" w:rsidRPr="0015449C" w:rsidRDefault="005673B7" w:rsidP="005673B7">
      <w:pPr>
        <w:spacing w:line="360" w:lineRule="auto"/>
        <w:rPr>
          <w:rFonts w:cs="Times New Roman"/>
          <w:b w:val="0"/>
          <w:bCs w:val="0"/>
          <w:sz w:val="24"/>
          <w:highlight w:val="yellow"/>
        </w:rPr>
      </w:pPr>
      <w:r w:rsidRPr="0015449C">
        <w:rPr>
          <w:rFonts w:cs="Times New Roman" w:hint="eastAsia"/>
          <w:b w:val="0"/>
          <w:bCs w:val="0"/>
          <w:sz w:val="24"/>
          <w:highlight w:val="yellow"/>
        </w:rPr>
        <w:t>ASR=</w:t>
      </w:r>
      <m:oMath>
        <m:f>
          <m:fPr>
            <m:ctrlPr>
              <w:rPr>
                <w:rFonts w:ascii="Cambria Math" w:hAnsi="Cambria Math" w:cs="Times New Roman"/>
                <w:b w:val="0"/>
                <w:bCs w:val="0"/>
                <w:i/>
                <w:sz w:val="24"/>
                <w:highlight w:val="yellow"/>
              </w:rPr>
            </m:ctrlPr>
          </m:fPr>
          <m:num>
            <m:nary>
              <m:naryPr>
                <m:chr m:val="∑"/>
                <m:limLoc m:val="subSup"/>
                <m:ctrlPr>
                  <w:rPr>
                    <w:rFonts w:ascii="Cambria Math" w:hAnsi="Cambria Math" w:cs="Times New Roman"/>
                    <w:b w:val="0"/>
                    <w:bCs w:val="0"/>
                    <w:i/>
                    <w:sz w:val="24"/>
                    <w:highlight w:val="yellow"/>
                  </w:rPr>
                </m:ctrlPr>
              </m:naryPr>
              <m:sub>
                <m:r>
                  <w:rPr>
                    <w:rFonts w:ascii="Cambria Math" w:hAnsi="Cambria Math" w:cs="Times New Roman" w:hint="eastAsia"/>
                    <w:sz w:val="24"/>
                    <w:highlight w:val="yellow"/>
                  </w:rPr>
                  <m:t>i=1</m:t>
                </m:r>
              </m:sub>
              <m:sup>
                <m:r>
                  <w:rPr>
                    <w:rFonts w:ascii="Cambria Math" w:hAnsi="Cambria Math" w:cs="Times New Roman"/>
                    <w:sz w:val="24"/>
                    <w:highlight w:val="yellow"/>
                  </w:rPr>
                  <m:t>A</m:t>
                </m:r>
              </m:sup>
              <m:e>
                <m:r>
                  <w:rPr>
                    <w:rFonts w:ascii="Cambria Math" w:hAnsi="Cambria Math" w:cs="Times New Roman" w:hint="eastAsia"/>
                    <w:sz w:val="24"/>
                    <w:highlight w:val="yellow"/>
                  </w:rPr>
                  <m:t>aiwi</m:t>
                </m:r>
              </m:e>
            </m:nary>
          </m:num>
          <m:den>
            <m:nary>
              <m:naryPr>
                <m:chr m:val="∑"/>
                <m:limLoc m:val="subSup"/>
                <m:ctrlPr>
                  <w:rPr>
                    <w:rFonts w:ascii="Cambria Math" w:hAnsi="Cambria Math" w:cs="Times New Roman"/>
                    <w:b w:val="0"/>
                    <w:bCs w:val="0"/>
                    <w:i/>
                    <w:sz w:val="24"/>
                    <w:highlight w:val="yellow"/>
                  </w:rPr>
                </m:ctrlPr>
              </m:naryPr>
              <m:sub>
                <m:r>
                  <w:rPr>
                    <w:rFonts w:ascii="Cambria Math" w:hAnsi="Cambria Math" w:cs="Times New Roman" w:hint="eastAsia"/>
                    <w:sz w:val="24"/>
                    <w:highlight w:val="yellow"/>
                  </w:rPr>
                  <m:t>i=1</m:t>
                </m:r>
              </m:sub>
              <m:sup>
                <m:r>
                  <w:rPr>
                    <w:rFonts w:ascii="Cambria Math" w:hAnsi="Cambria Math" w:cs="Times New Roman"/>
                    <w:sz w:val="24"/>
                    <w:highlight w:val="yellow"/>
                  </w:rPr>
                  <m:t>A</m:t>
                </m:r>
              </m:sup>
              <m:e>
                <m:r>
                  <w:rPr>
                    <w:rFonts w:ascii="Cambria Math" w:hAnsi="Cambria Math" w:cs="Times New Roman" w:hint="eastAsia"/>
                    <w:sz w:val="24"/>
                    <w:highlight w:val="yellow"/>
                  </w:rPr>
                  <m:t>wi</m:t>
                </m:r>
              </m:e>
            </m:nary>
          </m:den>
        </m:f>
      </m:oMath>
      <w:r w:rsidRPr="0015449C">
        <w:rPr>
          <w:rFonts w:cs="Times New Roman" w:hint="eastAsia"/>
          <w:b w:val="0"/>
          <w:bCs w:val="0"/>
          <w:sz w:val="24"/>
          <w:highlight w:val="yellow"/>
        </w:rPr>
        <w:t>×</w:t>
      </w:r>
      <w:r w:rsidRPr="0015449C">
        <w:rPr>
          <w:rFonts w:cs="Times New Roman" w:hint="eastAsia"/>
          <w:b w:val="0"/>
          <w:bCs w:val="0"/>
          <w:sz w:val="24"/>
          <w:highlight w:val="yellow"/>
        </w:rPr>
        <w:t>100,000</w:t>
      </w:r>
    </w:p>
    <w:p w14:paraId="494D5D69" w14:textId="5D6EFA27" w:rsidR="005673B7" w:rsidRPr="005673B7" w:rsidRDefault="005673B7" w:rsidP="005673B7">
      <w:pPr>
        <w:spacing w:line="360" w:lineRule="auto"/>
        <w:rPr>
          <w:rFonts w:cs="Times New Roman"/>
          <w:b w:val="0"/>
          <w:bCs w:val="0"/>
          <w:sz w:val="24"/>
        </w:rPr>
      </w:pPr>
      <w:r w:rsidRPr="0015449C">
        <w:rPr>
          <w:rFonts w:cs="Times New Roman"/>
          <w:b w:val="0"/>
          <w:bCs w:val="0"/>
          <w:sz w:val="24"/>
          <w:highlight w:val="yellow"/>
        </w:rPr>
        <w:t>Age structure varies greatly among different countries and at different times. The use of age-standardized rates can eliminate the influence of age structure on rates (</w:t>
      </w:r>
      <w:r w:rsidRPr="0015449C">
        <w:rPr>
          <w:rFonts w:cs="Times New Roman" w:hint="eastAsia"/>
          <w:b w:val="0"/>
          <w:bCs w:val="0"/>
          <w:sz w:val="24"/>
          <w:highlight w:val="yellow"/>
        </w:rPr>
        <w:t>deaths</w:t>
      </w:r>
      <w:r w:rsidRPr="0015449C">
        <w:rPr>
          <w:rFonts w:cs="Times New Roman"/>
          <w:b w:val="0"/>
          <w:bCs w:val="0"/>
          <w:sz w:val="24"/>
          <w:highlight w:val="yellow"/>
        </w:rPr>
        <w:t>, DALYs</w:t>
      </w:r>
      <w:r w:rsidRPr="0015449C">
        <w:rPr>
          <w:rFonts w:cs="Times New Roman" w:hint="eastAsia"/>
          <w:b w:val="0"/>
          <w:bCs w:val="0"/>
          <w:sz w:val="24"/>
          <w:highlight w:val="yellow"/>
        </w:rPr>
        <w:t xml:space="preserve">, </w:t>
      </w:r>
      <w:r w:rsidRPr="0015449C">
        <w:rPr>
          <w:rFonts w:cs="Times New Roman"/>
          <w:b w:val="0"/>
          <w:bCs w:val="0"/>
          <w:sz w:val="24"/>
          <w:highlight w:val="yellow"/>
        </w:rPr>
        <w:t>incidence</w:t>
      </w:r>
      <w:r w:rsidRPr="0015449C">
        <w:rPr>
          <w:rFonts w:cs="Times New Roman" w:hint="eastAsia"/>
          <w:b w:val="0"/>
          <w:bCs w:val="0"/>
          <w:sz w:val="24"/>
          <w:highlight w:val="yellow"/>
        </w:rPr>
        <w:t xml:space="preserve"> and</w:t>
      </w:r>
      <w:r w:rsidRPr="0015449C">
        <w:rPr>
          <w:rFonts w:cs="Times New Roman"/>
          <w:b w:val="0"/>
          <w:bCs w:val="0"/>
          <w:sz w:val="24"/>
          <w:highlight w:val="yellow"/>
        </w:rPr>
        <w:t xml:space="preserve"> </w:t>
      </w:r>
      <w:r w:rsidRPr="0015449C">
        <w:rPr>
          <w:rFonts w:cs="Times New Roman" w:hint="eastAsia"/>
          <w:b w:val="0"/>
          <w:bCs w:val="0"/>
          <w:sz w:val="24"/>
          <w:highlight w:val="yellow"/>
        </w:rPr>
        <w:t>prevalence</w:t>
      </w:r>
      <w:r w:rsidRPr="0015449C">
        <w:rPr>
          <w:rFonts w:cs="Times New Roman"/>
          <w:b w:val="0"/>
          <w:bCs w:val="0"/>
          <w:sz w:val="24"/>
          <w:highlight w:val="yellow"/>
        </w:rPr>
        <w:t>), making cross-national and cross-temporal comparisons more equitable.</w:t>
      </w:r>
    </w:p>
    <w:p w14:paraId="328873B1" w14:textId="77777777" w:rsidR="0015449C" w:rsidRDefault="00AC70B3" w:rsidP="005673B7">
      <w:pPr>
        <w:pStyle w:val="ae"/>
      </w:pPr>
      <w:proofErr w:type="spellStart"/>
      <w:r w:rsidRPr="00624EB5">
        <w:t>Joinpoint</w:t>
      </w:r>
      <w:proofErr w:type="spellEnd"/>
      <w:r w:rsidRPr="00624EB5">
        <w:t xml:space="preserve"> analysis</w:t>
      </w:r>
    </w:p>
    <w:p w14:paraId="0126EAD1" w14:textId="070DABE7" w:rsidR="00AC70B3" w:rsidRPr="0015449C" w:rsidRDefault="007A6F31" w:rsidP="005673B7">
      <w:pPr>
        <w:pStyle w:val="ae"/>
      </w:pPr>
      <w:proofErr w:type="spellStart"/>
      <w:r w:rsidRPr="005673B7">
        <w:rPr>
          <w:b w:val="0"/>
          <w:bCs/>
        </w:rPr>
        <w:lastRenderedPageBreak/>
        <w:t>Joinpoint</w:t>
      </w:r>
      <w:proofErr w:type="spellEnd"/>
      <w:r w:rsidRPr="005673B7">
        <w:rPr>
          <w:b w:val="0"/>
          <w:bCs/>
        </w:rPr>
        <w:t xml:space="preserve"> regression analysis was employed to investigate the change trend of</w:t>
      </w:r>
      <w:r w:rsidR="00EE564B" w:rsidRPr="005673B7">
        <w:rPr>
          <w:rFonts w:hint="eastAsia"/>
          <w:b w:val="0"/>
          <w:bCs/>
        </w:rPr>
        <w:t xml:space="preserve"> MSM, SCC and BCC</w:t>
      </w:r>
      <w:r w:rsidR="00AC70B3" w:rsidRPr="005673B7">
        <w:rPr>
          <w:b w:val="0"/>
          <w:bCs/>
        </w:rPr>
        <w:t>. It divided the overall trend into multiple phases with distinct characteristics. Trends in the burden of MSM, SCC and BCC from 1990 to 2021 were estimated using annual percentage change and average annual percentage change (AAPC).</w:t>
      </w:r>
      <w:bookmarkStart w:id="0" w:name="OLE_LINK2"/>
      <w:r w:rsidR="00AC70B3" w:rsidRPr="005673B7">
        <w:rPr>
          <w:b w:val="0"/>
          <w:bCs/>
        </w:rPr>
        <w:t xml:space="preserve"> </w:t>
      </w:r>
      <w:bookmarkEnd w:id="0"/>
      <w:r w:rsidR="00EE564B" w:rsidRPr="00896EE9">
        <w:rPr>
          <w:b w:val="0"/>
          <w:bCs/>
          <w:highlight w:val="yellow"/>
        </w:rPr>
        <w:t xml:space="preserve">In this study, all outcome measures were modeled on a logarithmic scale, with the maximum number of allowable </w:t>
      </w:r>
      <w:proofErr w:type="spellStart"/>
      <w:r w:rsidR="00EE564B" w:rsidRPr="00896EE9">
        <w:rPr>
          <w:b w:val="0"/>
          <w:bCs/>
          <w:highlight w:val="yellow"/>
        </w:rPr>
        <w:t>joinpoint</w:t>
      </w:r>
      <w:proofErr w:type="spellEnd"/>
      <w:r w:rsidR="00EE564B" w:rsidRPr="00896EE9">
        <w:rPr>
          <w:b w:val="0"/>
          <w:bCs/>
          <w:highlight w:val="yellow"/>
        </w:rPr>
        <w:t xml:space="preserve"> set at </w:t>
      </w:r>
      <w:r w:rsidR="00855FFA" w:rsidRPr="00896EE9">
        <w:rPr>
          <w:rFonts w:hint="eastAsia"/>
          <w:b w:val="0"/>
          <w:bCs/>
          <w:highlight w:val="yellow"/>
        </w:rPr>
        <w:t>three</w:t>
      </w:r>
      <w:r w:rsidR="00EE564B" w:rsidRPr="00896EE9">
        <w:rPr>
          <w:b w:val="0"/>
          <w:bCs/>
          <w:highlight w:val="yellow"/>
        </w:rPr>
        <w:t xml:space="preserve">. The overall significance level was fixed at α = 0.05, and the Akaike Information Criterion was used to determine the optimal number of </w:t>
      </w:r>
      <w:proofErr w:type="spellStart"/>
      <w:r w:rsidR="00EE564B" w:rsidRPr="00896EE9">
        <w:rPr>
          <w:b w:val="0"/>
          <w:bCs/>
          <w:highlight w:val="yellow"/>
        </w:rPr>
        <w:t>joinpoint</w:t>
      </w:r>
      <w:proofErr w:type="spellEnd"/>
      <w:r w:rsidR="00EE564B" w:rsidRPr="00896EE9">
        <w:rPr>
          <w:b w:val="0"/>
          <w:bCs/>
          <w:highlight w:val="yellow"/>
        </w:rPr>
        <w:t xml:space="preserve">. To ensure sufficient statistical reliability within each trend segment, the minimum segment length was set at </w:t>
      </w:r>
      <w:r w:rsidR="00855FFA" w:rsidRPr="00896EE9">
        <w:rPr>
          <w:rFonts w:hint="eastAsia"/>
          <w:b w:val="0"/>
          <w:bCs/>
          <w:highlight w:val="yellow"/>
        </w:rPr>
        <w:t>five</w:t>
      </w:r>
      <w:r w:rsidR="00EE564B" w:rsidRPr="00896EE9">
        <w:rPr>
          <w:b w:val="0"/>
          <w:bCs/>
          <w:highlight w:val="yellow"/>
        </w:rPr>
        <w:t xml:space="preserve"> consecutive years. The AAPC was calculated as a weighted average of the segment-specific annual percent changes, with weights corresponding to the duration of each segment.</w:t>
      </w:r>
    </w:p>
    <w:p w14:paraId="4D0B0A40" w14:textId="2C3A84CA" w:rsidR="00AC70B3" w:rsidRPr="00624EB5" w:rsidRDefault="00AC70B3" w:rsidP="005673B7">
      <w:pPr>
        <w:pStyle w:val="ae"/>
        <w:rPr>
          <w:color w:val="FF0000"/>
        </w:rPr>
      </w:pPr>
      <w:r w:rsidRPr="00624EB5">
        <w:t>Age-period-cohort analysis</w:t>
      </w:r>
    </w:p>
    <w:p w14:paraId="3B95072D" w14:textId="07553327" w:rsidR="00AC70B3" w:rsidRPr="00F13047" w:rsidRDefault="00AC70B3" w:rsidP="005673B7">
      <w:pPr>
        <w:pStyle w:val="ae"/>
        <w:rPr>
          <w:b w:val="0"/>
        </w:rPr>
      </w:pPr>
      <w:bookmarkStart w:id="1" w:name="OLE_LINK27"/>
      <w:r w:rsidRPr="005673B7">
        <w:rPr>
          <w:b w:val="0"/>
          <w:bCs/>
        </w:rPr>
        <w:t xml:space="preserve">The study used </w:t>
      </w:r>
      <w:bookmarkStart w:id="2" w:name="_Hlk180959121"/>
      <w:r w:rsidRPr="005673B7">
        <w:rPr>
          <w:b w:val="0"/>
          <w:bCs/>
        </w:rPr>
        <w:t>age-period-cohort</w:t>
      </w:r>
      <w:bookmarkEnd w:id="2"/>
      <w:r w:rsidRPr="005673B7">
        <w:rPr>
          <w:b w:val="0"/>
          <w:bCs/>
        </w:rPr>
        <w:t xml:space="preserve"> model to analyze the underlying trends in incidence among different ages, periods, and birth cohorts. This model incorporated three temporal dimensions to analyze changes in incidence over time. Age effect represented the change in risk at different ages. Period effect represented the effect of temporal changes on the entire population. Cohort effect represented changes in outcomes between participants with the same birth cohort. To address the identification problem caused by multicollinearity between the three queues, estimable functions based on </w:t>
      </w:r>
      <w:r w:rsidRPr="005673B7">
        <w:rPr>
          <w:b w:val="0"/>
          <w:bCs/>
        </w:rPr>
        <w:lastRenderedPageBreak/>
        <w:t>Poisson distribution were utilized to account for the different effects of the three temporal dimensions.</w:t>
      </w:r>
      <w:bookmarkStart w:id="3" w:name="OLE_LINK13"/>
      <w:r w:rsidRPr="005673B7">
        <w:rPr>
          <w:b w:val="0"/>
          <w:bCs/>
        </w:rPr>
        <w:t xml:space="preserve"> </w:t>
      </w:r>
      <w:bookmarkStart w:id="4" w:name="OLE_LINK14"/>
      <w:bookmarkEnd w:id="3"/>
      <w:r w:rsidR="00F13047" w:rsidRPr="00F13047">
        <w:rPr>
          <w:b w:val="0"/>
          <w:highlight w:val="yellow"/>
        </w:rPr>
        <w:t>The core of this tool is to fit APC models using R language at the back end. It calculates various estimable parameters, including net drift, local drift and the trend of specific age group rates. Local drift refers to the short-term and local deviation of the trend from the overall trend in a specific period, region or population. Net drift represents the annual percentage change in the age-adjusted disease rate over time, which indicates the overall log-linear trend divided by period and cohort.</w:t>
      </w:r>
    </w:p>
    <w:bookmarkEnd w:id="4"/>
    <w:p w14:paraId="5F412B0D" w14:textId="3B4B66DE" w:rsidR="00AC70B3" w:rsidRPr="00624EB5" w:rsidRDefault="00AC70B3" w:rsidP="005673B7">
      <w:pPr>
        <w:pStyle w:val="ae"/>
      </w:pPr>
      <w:r w:rsidRPr="00624EB5">
        <w:t>Decomposition analysis</w:t>
      </w:r>
    </w:p>
    <w:p w14:paraId="621D8C87" w14:textId="7010248F" w:rsidR="00AC70B3" w:rsidRPr="005673B7" w:rsidRDefault="00AC70B3" w:rsidP="005673B7">
      <w:pPr>
        <w:pStyle w:val="ae"/>
        <w:rPr>
          <w:b w:val="0"/>
          <w:bCs/>
        </w:rPr>
      </w:pPr>
      <w:r w:rsidRPr="005673B7">
        <w:rPr>
          <w:b w:val="0"/>
          <w:bCs/>
        </w:rPr>
        <w:t xml:space="preserve">To better understand the factors contributing to the changes in DALYs for MCC, SCC, BCC between 1990 and 2021, we conducted decomposition analyses based on sex and factors such as age structure, population size, and epidemiological changes. The calculation of DALYs at each location was performed using the following formula: </w:t>
      </w:r>
      <w:bookmarkStart w:id="5" w:name="_Hlk214570268"/>
      <w:r w:rsidRPr="00F6381C">
        <w:rPr>
          <w:b w:val="0"/>
          <w:bCs/>
          <w:highlight w:val="yellow"/>
        </w:rPr>
        <w:t xml:space="preserve">DALY ay, </w:t>
      </w:r>
      <w:proofErr w:type="spellStart"/>
      <w:r w:rsidRPr="00F6381C">
        <w:rPr>
          <w:b w:val="0"/>
          <w:bCs/>
          <w:highlight w:val="yellow"/>
        </w:rPr>
        <w:t>py</w:t>
      </w:r>
      <w:proofErr w:type="spellEnd"/>
      <w:r w:rsidRPr="00F6381C">
        <w:rPr>
          <w:b w:val="0"/>
          <w:bCs/>
          <w:highlight w:val="yellow"/>
        </w:rPr>
        <w:t xml:space="preserve">, </w:t>
      </w:r>
      <w:proofErr w:type="spellStart"/>
      <w:r w:rsidRPr="00F6381C">
        <w:rPr>
          <w:b w:val="0"/>
          <w:bCs/>
          <w:highlight w:val="yellow"/>
        </w:rPr>
        <w:t>ey</w:t>
      </w:r>
      <w:proofErr w:type="spellEnd"/>
      <w:r w:rsidRPr="00F6381C">
        <w:rPr>
          <w:b w:val="0"/>
          <w:bCs/>
          <w:highlight w:val="yellow"/>
        </w:rPr>
        <w:t xml:space="preserve"> = </w:t>
      </w:r>
      <m:oMath>
        <m:nary>
          <m:naryPr>
            <m:chr m:val="∑"/>
            <m:limLoc m:val="undOvr"/>
            <m:ctrlPr>
              <w:rPr>
                <w:rFonts w:ascii="Cambria Math" w:hAnsi="Cambria Math"/>
                <w:b w:val="0"/>
                <w:bCs/>
                <w:highlight w:val="yellow"/>
              </w:rPr>
            </m:ctrlPr>
          </m:naryPr>
          <m:sub>
            <m:r>
              <m:rPr>
                <m:sty m:val="p"/>
              </m:rPr>
              <w:rPr>
                <w:rFonts w:ascii="Cambria Math" w:hAnsi="Cambria Math"/>
                <w:highlight w:val="yellow"/>
              </w:rPr>
              <m:t>i=1</m:t>
            </m:r>
          </m:sub>
          <m:sup>
            <m:r>
              <m:rPr>
                <m:sty m:val="p"/>
              </m:rPr>
              <w:rPr>
                <w:rFonts w:ascii="Cambria Math" w:hAnsi="Cambria Math"/>
                <w:highlight w:val="yellow"/>
              </w:rPr>
              <m:t>n</m:t>
            </m:r>
          </m:sup>
          <m:e>
            <m:r>
              <m:rPr>
                <m:sty m:val="p"/>
              </m:rPr>
              <w:rPr>
                <w:rFonts w:ascii="Cambria Math" w:hAnsi="Cambria Math"/>
                <w:highlight w:val="yellow"/>
              </w:rPr>
              <m:t>(</m:t>
            </m:r>
          </m:e>
        </m:nary>
      </m:oMath>
      <w:r w:rsidRPr="00F6381C">
        <w:rPr>
          <w:b w:val="0"/>
          <w:bCs/>
          <w:highlight w:val="yellow"/>
        </w:rPr>
        <w:t>a i, y * p y * e i, y), in which DALY ay, py, ey represented the DALYs influenced by age structure, population, and DALYs rate for a specific year y; a i, y denoted the proportion of the population in the age group i out of the total age categories in year y; p y referred to the total population in year y; and e i, y indicated the DALYs rate for age category i in year y.</w:t>
      </w:r>
    </w:p>
    <w:bookmarkEnd w:id="5"/>
    <w:p w14:paraId="22A50C15" w14:textId="1494563A" w:rsidR="00AC70B3" w:rsidRPr="00624EB5" w:rsidRDefault="00AC70B3" w:rsidP="005673B7">
      <w:pPr>
        <w:pStyle w:val="ae"/>
      </w:pPr>
      <w:r w:rsidRPr="00624EB5">
        <w:t>Cross-country inequality analysis</w:t>
      </w:r>
    </w:p>
    <w:p w14:paraId="30CD50D4" w14:textId="01EBC59C" w:rsidR="00AC70B3" w:rsidRPr="005673B7" w:rsidRDefault="00AC70B3" w:rsidP="005673B7">
      <w:pPr>
        <w:pStyle w:val="ae"/>
        <w:rPr>
          <w:rFonts w:hint="eastAsia"/>
          <w:b w:val="0"/>
          <w:bCs/>
        </w:rPr>
      </w:pPr>
      <w:r w:rsidRPr="005673B7">
        <w:rPr>
          <w:b w:val="0"/>
          <w:bCs/>
        </w:rPr>
        <w:lastRenderedPageBreak/>
        <w:t>To evaluate the dispersion of health inequality related to the burden of MCC, SCC, and BCC across countries, both absolute and relative health inequalities were considered. These were quantified using the slope index and concentration index, respectively.</w:t>
      </w:r>
      <w:r w:rsidR="0065584D">
        <w:rPr>
          <w:rFonts w:hint="eastAsia"/>
          <w:b w:val="0"/>
          <w:bCs/>
        </w:rPr>
        <w:t xml:space="preserve"> </w:t>
      </w:r>
      <w:r w:rsidR="0065584D" w:rsidRPr="0065584D">
        <w:rPr>
          <w:b w:val="0"/>
          <w:bCs/>
          <w:highlight w:val="yellow"/>
        </w:rPr>
        <w:t>The slope index focuses on how large the actual gap in disease burden is among different socioeconomic groups, while the concentration index pays more attention to the distribution bias of disease burden.</w:t>
      </w:r>
      <w:r w:rsidR="0065584D">
        <w:rPr>
          <w:rFonts w:hint="eastAsia"/>
          <w:b w:val="0"/>
          <w:bCs/>
        </w:rPr>
        <w:t xml:space="preserve"> </w:t>
      </w:r>
      <w:r w:rsidRPr="005673B7">
        <w:rPr>
          <w:b w:val="0"/>
          <w:bCs/>
        </w:rPr>
        <w:t>The slope index was derived by performing a regression analysis of the national ASIR for all age groups, with respect to a relative location scale reflecting sociodemographic development. The relative location was determined at the midpoint of the cumulative population range with SDI ranking. Concentration index was computed using numerical integration of the area beneath the Lorentz curve. This curve was fitted according to the cumulative ASIR distribution, with the population being sorted by SDI.</w:t>
      </w:r>
      <w:r w:rsidR="0065584D">
        <w:rPr>
          <w:rFonts w:hint="eastAsia"/>
          <w:b w:val="0"/>
          <w:bCs/>
        </w:rPr>
        <w:t xml:space="preserve"> </w:t>
      </w:r>
    </w:p>
    <w:p w14:paraId="4FA2AEA1" w14:textId="7658729E" w:rsidR="00AC70B3" w:rsidRPr="00624EB5" w:rsidRDefault="00AC70B3" w:rsidP="005673B7">
      <w:pPr>
        <w:pStyle w:val="ae"/>
      </w:pPr>
      <w:bookmarkStart w:id="6" w:name="_Hlk214572209"/>
      <w:bookmarkEnd w:id="1"/>
      <w:r w:rsidRPr="00624EB5">
        <w:t>Predictive analysis</w:t>
      </w:r>
    </w:p>
    <w:bookmarkEnd w:id="6"/>
    <w:p w14:paraId="38B226F0" w14:textId="193F2120" w:rsidR="00255C4E" w:rsidRPr="00624EB5" w:rsidRDefault="00AC70B3" w:rsidP="00624EB5">
      <w:pPr>
        <w:spacing w:line="360" w:lineRule="auto"/>
        <w:rPr>
          <w:rFonts w:cs="Times New Roman"/>
          <w:sz w:val="24"/>
          <w:szCs w:val="24"/>
        </w:rPr>
      </w:pPr>
      <w:r w:rsidRPr="00624EB5">
        <w:rPr>
          <w:rFonts w:cs="Times New Roman"/>
          <w:b w:val="0"/>
          <w:sz w:val="24"/>
          <w:szCs w:val="24"/>
        </w:rPr>
        <w:t xml:space="preserve">To forecast the future burden of MSM, SCC, and BCC for the next 23 years, the </w:t>
      </w:r>
      <w:proofErr w:type="spellStart"/>
      <w:r w:rsidRPr="00624EB5">
        <w:rPr>
          <w:rFonts w:cs="Times New Roman"/>
          <w:b w:val="0"/>
          <w:sz w:val="24"/>
          <w:szCs w:val="24"/>
        </w:rPr>
        <w:t>Norpred</w:t>
      </w:r>
      <w:proofErr w:type="spellEnd"/>
      <w:r w:rsidRPr="00624EB5">
        <w:rPr>
          <w:rFonts w:cs="Times New Roman"/>
          <w:b w:val="0"/>
          <w:sz w:val="24"/>
          <w:szCs w:val="24"/>
        </w:rPr>
        <w:t xml:space="preserve"> package in R was used. This prediction method has been introduced in previous studies of blood tumors and liver cancer. The process involved fitting a Poisson regression model to historical data on the number and ASR for deaths, DALYs, incidence, and prevalence of the three types skin cancer. The model adjusts for various predictors and extrapolates future values using trend-based forecasting. This method </w:t>
      </w:r>
      <w:r w:rsidRPr="00624EB5">
        <w:rPr>
          <w:rFonts w:cs="Times New Roman"/>
          <w:b w:val="0"/>
          <w:sz w:val="24"/>
          <w:szCs w:val="24"/>
        </w:rPr>
        <w:lastRenderedPageBreak/>
        <w:t>produced estimates of disease burden under different scenarios, considering potential changes in the population structure and disease trends.</w:t>
      </w:r>
    </w:p>
    <w:sectPr w:rsidR="00255C4E" w:rsidRPr="00624EB5" w:rsidSect="0015449C">
      <w:pgSz w:w="11906" w:h="16838"/>
      <w:pgMar w:top="1440" w:right="1800" w:bottom="1440" w:left="1800" w:header="851" w:footer="992" w:gutter="0"/>
      <w:lnNumType w:countBy="1" w:restart="continuous"/>
      <w:cols w:space="425"/>
      <w:docGrid w:type="lines" w:linePitch="4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70207" w14:textId="77777777" w:rsidR="004220DB" w:rsidRDefault="004220DB" w:rsidP="000F0AD3">
      <w:r>
        <w:separator/>
      </w:r>
    </w:p>
  </w:endnote>
  <w:endnote w:type="continuationSeparator" w:id="0">
    <w:p w14:paraId="7B293AAD" w14:textId="77777777" w:rsidR="004220DB" w:rsidRDefault="004220DB" w:rsidP="000F0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56E81" w14:textId="77777777" w:rsidR="004220DB" w:rsidRDefault="004220DB" w:rsidP="000F0AD3">
      <w:r>
        <w:separator/>
      </w:r>
    </w:p>
  </w:footnote>
  <w:footnote w:type="continuationSeparator" w:id="0">
    <w:p w14:paraId="073B2894" w14:textId="77777777" w:rsidR="004220DB" w:rsidRDefault="004220DB" w:rsidP="000F0A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drawingGridHorizontalSpacing w:val="361"/>
  <w:drawingGridVerticalSpacing w:val="24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0B3"/>
    <w:rsid w:val="000F0AD3"/>
    <w:rsid w:val="00124553"/>
    <w:rsid w:val="0015449C"/>
    <w:rsid w:val="00255C4E"/>
    <w:rsid w:val="00260EF2"/>
    <w:rsid w:val="002A4041"/>
    <w:rsid w:val="003D4F1E"/>
    <w:rsid w:val="003D6C79"/>
    <w:rsid w:val="004220DB"/>
    <w:rsid w:val="00441495"/>
    <w:rsid w:val="005310CA"/>
    <w:rsid w:val="005673B7"/>
    <w:rsid w:val="00624EB5"/>
    <w:rsid w:val="006557B6"/>
    <w:rsid w:val="0065584D"/>
    <w:rsid w:val="006B16CF"/>
    <w:rsid w:val="007A6F31"/>
    <w:rsid w:val="007E42A3"/>
    <w:rsid w:val="00855FFA"/>
    <w:rsid w:val="00884F29"/>
    <w:rsid w:val="00896EE9"/>
    <w:rsid w:val="0093145E"/>
    <w:rsid w:val="00AC70B3"/>
    <w:rsid w:val="00B02AE7"/>
    <w:rsid w:val="00B77325"/>
    <w:rsid w:val="00B84EF8"/>
    <w:rsid w:val="00BF639B"/>
    <w:rsid w:val="00C639DC"/>
    <w:rsid w:val="00EC2E9A"/>
    <w:rsid w:val="00EE564B"/>
    <w:rsid w:val="00F13047"/>
    <w:rsid w:val="00F6381C"/>
    <w:rsid w:val="00F72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DCE634"/>
  <w15:chartTrackingRefBased/>
  <w15:docId w15:val="{98240F6F-AD84-4C9B-B463-ACEB57E0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rsid w:val="00AC70B3"/>
    <w:pPr>
      <w:widowControl w:val="0"/>
      <w:jc w:val="both"/>
    </w:pPr>
    <w:rPr>
      <w:rFonts w:ascii="Times New Roman" w:eastAsia="宋体" w:hAnsi="Times New Roman"/>
      <w:b/>
      <w:bCs/>
      <w:iCs/>
      <w:sz w:val="36"/>
      <w:szCs w:val="36"/>
    </w:rPr>
  </w:style>
  <w:style w:type="paragraph" w:styleId="1">
    <w:name w:val="heading 1"/>
    <w:basedOn w:val="a"/>
    <w:next w:val="a"/>
    <w:link w:val="10"/>
    <w:uiPriority w:val="9"/>
    <w:qFormat/>
    <w:rsid w:val="00AC70B3"/>
    <w:pPr>
      <w:keepNext/>
      <w:keepLines/>
      <w:spacing w:before="480" w:after="80"/>
      <w:outlineLvl w:val="0"/>
    </w:pPr>
    <w:rPr>
      <w:rFonts w:asciiTheme="majorHAnsi" w:eastAsiaTheme="majorEastAsia" w:hAnsiTheme="majorHAnsi" w:cstheme="majorBidi"/>
      <w:b w:val="0"/>
      <w:bCs w:val="0"/>
      <w:iCs w:val="0"/>
      <w:color w:val="0F4761" w:themeColor="accent1" w:themeShade="BF"/>
      <w:sz w:val="48"/>
      <w:szCs w:val="48"/>
    </w:rPr>
  </w:style>
  <w:style w:type="paragraph" w:styleId="2">
    <w:name w:val="heading 2"/>
    <w:basedOn w:val="a"/>
    <w:next w:val="a"/>
    <w:link w:val="20"/>
    <w:uiPriority w:val="9"/>
    <w:semiHidden/>
    <w:unhideWhenUsed/>
    <w:qFormat/>
    <w:rsid w:val="00AC70B3"/>
    <w:pPr>
      <w:keepNext/>
      <w:keepLines/>
      <w:spacing w:before="160" w:after="80"/>
      <w:outlineLvl w:val="1"/>
    </w:pPr>
    <w:rPr>
      <w:rFonts w:asciiTheme="majorHAnsi" w:eastAsiaTheme="majorEastAsia" w:hAnsiTheme="majorHAnsi" w:cstheme="majorBidi"/>
      <w:b w:val="0"/>
      <w:bCs w:val="0"/>
      <w:iCs w:val="0"/>
      <w:color w:val="0F4761" w:themeColor="accent1" w:themeShade="BF"/>
      <w:sz w:val="40"/>
      <w:szCs w:val="40"/>
    </w:rPr>
  </w:style>
  <w:style w:type="paragraph" w:styleId="3">
    <w:name w:val="heading 3"/>
    <w:basedOn w:val="a"/>
    <w:next w:val="a"/>
    <w:link w:val="30"/>
    <w:uiPriority w:val="9"/>
    <w:semiHidden/>
    <w:unhideWhenUsed/>
    <w:qFormat/>
    <w:rsid w:val="00AC70B3"/>
    <w:pPr>
      <w:keepNext/>
      <w:keepLines/>
      <w:spacing w:before="160" w:after="80"/>
      <w:outlineLvl w:val="2"/>
    </w:pPr>
    <w:rPr>
      <w:rFonts w:asciiTheme="majorHAnsi" w:eastAsiaTheme="majorEastAsia" w:hAnsiTheme="majorHAnsi" w:cstheme="majorBidi"/>
      <w:b w:val="0"/>
      <w:bCs w:val="0"/>
      <w:iCs w:val="0"/>
      <w:color w:val="0F4761" w:themeColor="accent1" w:themeShade="BF"/>
      <w:sz w:val="32"/>
      <w:szCs w:val="32"/>
    </w:rPr>
  </w:style>
  <w:style w:type="paragraph" w:styleId="4">
    <w:name w:val="heading 4"/>
    <w:basedOn w:val="a"/>
    <w:next w:val="a"/>
    <w:link w:val="40"/>
    <w:uiPriority w:val="9"/>
    <w:semiHidden/>
    <w:unhideWhenUsed/>
    <w:qFormat/>
    <w:rsid w:val="00AC70B3"/>
    <w:pPr>
      <w:keepNext/>
      <w:keepLines/>
      <w:spacing w:before="80" w:after="40"/>
      <w:outlineLvl w:val="3"/>
    </w:pPr>
    <w:rPr>
      <w:rFonts w:asciiTheme="minorHAnsi" w:eastAsiaTheme="minorEastAsia" w:hAnsiTheme="minorHAnsi" w:cstheme="majorBidi"/>
      <w:b w:val="0"/>
      <w:bCs w:val="0"/>
      <w:iCs w:val="0"/>
      <w:color w:val="0F4761" w:themeColor="accent1" w:themeShade="BF"/>
      <w:sz w:val="28"/>
      <w:szCs w:val="28"/>
    </w:rPr>
  </w:style>
  <w:style w:type="paragraph" w:styleId="5">
    <w:name w:val="heading 5"/>
    <w:basedOn w:val="a"/>
    <w:next w:val="a"/>
    <w:link w:val="50"/>
    <w:uiPriority w:val="9"/>
    <w:semiHidden/>
    <w:unhideWhenUsed/>
    <w:qFormat/>
    <w:rsid w:val="00AC70B3"/>
    <w:pPr>
      <w:keepNext/>
      <w:keepLines/>
      <w:spacing w:before="80" w:after="40"/>
      <w:outlineLvl w:val="4"/>
    </w:pPr>
    <w:rPr>
      <w:rFonts w:asciiTheme="minorHAnsi" w:eastAsiaTheme="minorEastAsia" w:hAnsiTheme="minorHAnsi" w:cstheme="majorBidi"/>
      <w:b w:val="0"/>
      <w:bCs w:val="0"/>
      <w:iCs w:val="0"/>
      <w:color w:val="0F4761" w:themeColor="accent1" w:themeShade="BF"/>
      <w:sz w:val="24"/>
      <w:szCs w:val="24"/>
    </w:rPr>
  </w:style>
  <w:style w:type="paragraph" w:styleId="6">
    <w:name w:val="heading 6"/>
    <w:basedOn w:val="a"/>
    <w:next w:val="a"/>
    <w:link w:val="60"/>
    <w:uiPriority w:val="9"/>
    <w:semiHidden/>
    <w:unhideWhenUsed/>
    <w:qFormat/>
    <w:rsid w:val="00AC70B3"/>
    <w:pPr>
      <w:keepNext/>
      <w:keepLines/>
      <w:spacing w:before="40"/>
      <w:outlineLvl w:val="5"/>
    </w:pPr>
    <w:rPr>
      <w:rFonts w:asciiTheme="minorHAnsi" w:eastAsiaTheme="minorEastAsia" w:hAnsiTheme="minorHAnsi" w:cstheme="majorBidi"/>
      <w:iCs w:val="0"/>
      <w:color w:val="0F4761" w:themeColor="accent1" w:themeShade="BF"/>
      <w:sz w:val="21"/>
      <w:szCs w:val="22"/>
    </w:rPr>
  </w:style>
  <w:style w:type="paragraph" w:styleId="7">
    <w:name w:val="heading 7"/>
    <w:basedOn w:val="a"/>
    <w:next w:val="a"/>
    <w:link w:val="70"/>
    <w:uiPriority w:val="9"/>
    <w:semiHidden/>
    <w:unhideWhenUsed/>
    <w:qFormat/>
    <w:rsid w:val="00AC70B3"/>
    <w:pPr>
      <w:keepNext/>
      <w:keepLines/>
      <w:spacing w:before="40"/>
      <w:outlineLvl w:val="6"/>
    </w:pPr>
    <w:rPr>
      <w:rFonts w:asciiTheme="minorHAnsi" w:eastAsiaTheme="minorEastAsia" w:hAnsiTheme="minorHAnsi" w:cstheme="majorBidi"/>
      <w:iCs w:val="0"/>
      <w:color w:val="595959" w:themeColor="text1" w:themeTint="A6"/>
      <w:sz w:val="21"/>
      <w:szCs w:val="22"/>
    </w:rPr>
  </w:style>
  <w:style w:type="paragraph" w:styleId="8">
    <w:name w:val="heading 8"/>
    <w:basedOn w:val="a"/>
    <w:next w:val="a"/>
    <w:link w:val="80"/>
    <w:uiPriority w:val="9"/>
    <w:semiHidden/>
    <w:unhideWhenUsed/>
    <w:qFormat/>
    <w:rsid w:val="00AC70B3"/>
    <w:pPr>
      <w:keepNext/>
      <w:keepLines/>
      <w:outlineLvl w:val="7"/>
    </w:pPr>
    <w:rPr>
      <w:rFonts w:asciiTheme="minorHAnsi" w:eastAsiaTheme="minorEastAsia" w:hAnsiTheme="minorHAnsi" w:cstheme="majorBidi"/>
      <w:b w:val="0"/>
      <w:bCs w:val="0"/>
      <w:iCs w:val="0"/>
      <w:color w:val="595959" w:themeColor="text1" w:themeTint="A6"/>
      <w:sz w:val="21"/>
      <w:szCs w:val="22"/>
    </w:rPr>
  </w:style>
  <w:style w:type="paragraph" w:styleId="9">
    <w:name w:val="heading 9"/>
    <w:basedOn w:val="a"/>
    <w:next w:val="a"/>
    <w:link w:val="90"/>
    <w:uiPriority w:val="9"/>
    <w:semiHidden/>
    <w:unhideWhenUsed/>
    <w:qFormat/>
    <w:rsid w:val="00AC70B3"/>
    <w:pPr>
      <w:keepNext/>
      <w:keepLines/>
      <w:outlineLvl w:val="8"/>
    </w:pPr>
    <w:rPr>
      <w:rFonts w:asciiTheme="minorHAnsi" w:eastAsiaTheme="majorEastAsia" w:hAnsiTheme="minorHAnsi" w:cstheme="majorBidi"/>
      <w:b w:val="0"/>
      <w:bCs w:val="0"/>
      <w:iCs w:val="0"/>
      <w:color w:val="595959" w:themeColor="text1" w:themeTint="A6"/>
      <w:sz w:val="21"/>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C70B3"/>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AC70B3"/>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AC70B3"/>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AC70B3"/>
    <w:rPr>
      <w:rFonts w:cstheme="majorBidi"/>
      <w:color w:val="0F4761" w:themeColor="accent1" w:themeShade="BF"/>
      <w:sz w:val="28"/>
      <w:szCs w:val="28"/>
    </w:rPr>
  </w:style>
  <w:style w:type="character" w:customStyle="1" w:styleId="50">
    <w:name w:val="标题 5 字符"/>
    <w:basedOn w:val="a0"/>
    <w:link w:val="5"/>
    <w:uiPriority w:val="9"/>
    <w:semiHidden/>
    <w:rsid w:val="00AC70B3"/>
    <w:rPr>
      <w:rFonts w:cstheme="majorBidi"/>
      <w:color w:val="0F4761" w:themeColor="accent1" w:themeShade="BF"/>
      <w:sz w:val="24"/>
      <w:szCs w:val="24"/>
    </w:rPr>
  </w:style>
  <w:style w:type="character" w:customStyle="1" w:styleId="60">
    <w:name w:val="标题 6 字符"/>
    <w:basedOn w:val="a0"/>
    <w:link w:val="6"/>
    <w:uiPriority w:val="9"/>
    <w:semiHidden/>
    <w:rsid w:val="00AC70B3"/>
    <w:rPr>
      <w:rFonts w:cstheme="majorBidi"/>
      <w:b/>
      <w:bCs/>
      <w:color w:val="0F4761" w:themeColor="accent1" w:themeShade="BF"/>
    </w:rPr>
  </w:style>
  <w:style w:type="character" w:customStyle="1" w:styleId="70">
    <w:name w:val="标题 7 字符"/>
    <w:basedOn w:val="a0"/>
    <w:link w:val="7"/>
    <w:uiPriority w:val="9"/>
    <w:semiHidden/>
    <w:rsid w:val="00AC70B3"/>
    <w:rPr>
      <w:rFonts w:cstheme="majorBidi"/>
      <w:b/>
      <w:bCs/>
      <w:color w:val="595959" w:themeColor="text1" w:themeTint="A6"/>
    </w:rPr>
  </w:style>
  <w:style w:type="character" w:customStyle="1" w:styleId="80">
    <w:name w:val="标题 8 字符"/>
    <w:basedOn w:val="a0"/>
    <w:link w:val="8"/>
    <w:uiPriority w:val="9"/>
    <w:semiHidden/>
    <w:rsid w:val="00AC70B3"/>
    <w:rPr>
      <w:rFonts w:cstheme="majorBidi"/>
      <w:color w:val="595959" w:themeColor="text1" w:themeTint="A6"/>
    </w:rPr>
  </w:style>
  <w:style w:type="character" w:customStyle="1" w:styleId="90">
    <w:name w:val="标题 9 字符"/>
    <w:basedOn w:val="a0"/>
    <w:link w:val="9"/>
    <w:uiPriority w:val="9"/>
    <w:semiHidden/>
    <w:rsid w:val="00AC70B3"/>
    <w:rPr>
      <w:rFonts w:eastAsiaTheme="majorEastAsia" w:cstheme="majorBidi"/>
      <w:color w:val="595959" w:themeColor="text1" w:themeTint="A6"/>
    </w:rPr>
  </w:style>
  <w:style w:type="paragraph" w:styleId="a3">
    <w:name w:val="Title"/>
    <w:basedOn w:val="a"/>
    <w:next w:val="a"/>
    <w:link w:val="a4"/>
    <w:uiPriority w:val="10"/>
    <w:qFormat/>
    <w:rsid w:val="00AC70B3"/>
    <w:pPr>
      <w:spacing w:after="80"/>
      <w:contextualSpacing/>
      <w:jc w:val="center"/>
    </w:pPr>
    <w:rPr>
      <w:rFonts w:asciiTheme="majorHAnsi" w:eastAsiaTheme="majorEastAsia" w:hAnsiTheme="majorHAnsi" w:cstheme="majorBidi"/>
      <w:b w:val="0"/>
      <w:bCs w:val="0"/>
      <w:iCs w:val="0"/>
      <w:spacing w:val="-10"/>
      <w:kern w:val="28"/>
      <w:sz w:val="56"/>
      <w:szCs w:val="56"/>
    </w:rPr>
  </w:style>
  <w:style w:type="character" w:customStyle="1" w:styleId="a4">
    <w:name w:val="标题 字符"/>
    <w:basedOn w:val="a0"/>
    <w:link w:val="a3"/>
    <w:uiPriority w:val="10"/>
    <w:rsid w:val="00AC70B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C70B3"/>
    <w:pPr>
      <w:numPr>
        <w:ilvl w:val="1"/>
      </w:numPr>
      <w:spacing w:after="160"/>
      <w:jc w:val="center"/>
    </w:pPr>
    <w:rPr>
      <w:rFonts w:asciiTheme="majorHAnsi" w:eastAsiaTheme="majorEastAsia" w:hAnsiTheme="majorHAnsi" w:cstheme="majorBidi"/>
      <w:b w:val="0"/>
      <w:bCs w:val="0"/>
      <w:iCs w:val="0"/>
      <w:color w:val="595959" w:themeColor="text1" w:themeTint="A6"/>
      <w:spacing w:val="15"/>
      <w:sz w:val="28"/>
      <w:szCs w:val="28"/>
    </w:rPr>
  </w:style>
  <w:style w:type="character" w:customStyle="1" w:styleId="a6">
    <w:name w:val="副标题 字符"/>
    <w:basedOn w:val="a0"/>
    <w:link w:val="a5"/>
    <w:uiPriority w:val="11"/>
    <w:rsid w:val="00AC70B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C70B3"/>
    <w:pPr>
      <w:spacing w:before="160" w:after="160"/>
      <w:jc w:val="center"/>
    </w:pPr>
    <w:rPr>
      <w:rFonts w:asciiTheme="minorHAnsi" w:eastAsiaTheme="minorEastAsia" w:hAnsiTheme="minorHAnsi"/>
      <w:b w:val="0"/>
      <w:bCs w:val="0"/>
      <w:i/>
      <w:color w:val="404040" w:themeColor="text1" w:themeTint="BF"/>
      <w:sz w:val="21"/>
      <w:szCs w:val="22"/>
    </w:rPr>
  </w:style>
  <w:style w:type="character" w:customStyle="1" w:styleId="a8">
    <w:name w:val="引用 字符"/>
    <w:basedOn w:val="a0"/>
    <w:link w:val="a7"/>
    <w:uiPriority w:val="29"/>
    <w:rsid w:val="00AC70B3"/>
    <w:rPr>
      <w:i/>
      <w:iCs/>
      <w:color w:val="404040" w:themeColor="text1" w:themeTint="BF"/>
    </w:rPr>
  </w:style>
  <w:style w:type="paragraph" w:styleId="a9">
    <w:name w:val="List Paragraph"/>
    <w:basedOn w:val="a"/>
    <w:uiPriority w:val="34"/>
    <w:qFormat/>
    <w:rsid w:val="00AC70B3"/>
    <w:pPr>
      <w:ind w:left="720"/>
      <w:contextualSpacing/>
    </w:pPr>
    <w:rPr>
      <w:rFonts w:asciiTheme="minorHAnsi" w:eastAsiaTheme="minorEastAsia" w:hAnsiTheme="minorHAnsi"/>
      <w:b w:val="0"/>
      <w:bCs w:val="0"/>
      <w:iCs w:val="0"/>
      <w:sz w:val="21"/>
      <w:szCs w:val="22"/>
    </w:rPr>
  </w:style>
  <w:style w:type="character" w:styleId="aa">
    <w:name w:val="Intense Emphasis"/>
    <w:basedOn w:val="a0"/>
    <w:uiPriority w:val="21"/>
    <w:qFormat/>
    <w:rsid w:val="00AC70B3"/>
    <w:rPr>
      <w:i/>
      <w:iCs/>
      <w:color w:val="0F4761" w:themeColor="accent1" w:themeShade="BF"/>
    </w:rPr>
  </w:style>
  <w:style w:type="paragraph" w:styleId="ab">
    <w:name w:val="Intense Quote"/>
    <w:basedOn w:val="a"/>
    <w:next w:val="a"/>
    <w:link w:val="ac"/>
    <w:uiPriority w:val="30"/>
    <w:qFormat/>
    <w:rsid w:val="00AC70B3"/>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b w:val="0"/>
      <w:bCs w:val="0"/>
      <w:i/>
      <w:color w:val="0F4761" w:themeColor="accent1" w:themeShade="BF"/>
      <w:sz w:val="21"/>
      <w:szCs w:val="22"/>
    </w:rPr>
  </w:style>
  <w:style w:type="character" w:customStyle="1" w:styleId="ac">
    <w:name w:val="明显引用 字符"/>
    <w:basedOn w:val="a0"/>
    <w:link w:val="ab"/>
    <w:uiPriority w:val="30"/>
    <w:rsid w:val="00AC70B3"/>
    <w:rPr>
      <w:i/>
      <w:iCs/>
      <w:color w:val="0F4761" w:themeColor="accent1" w:themeShade="BF"/>
    </w:rPr>
  </w:style>
  <w:style w:type="character" w:styleId="ad">
    <w:name w:val="Intense Reference"/>
    <w:basedOn w:val="a0"/>
    <w:uiPriority w:val="32"/>
    <w:qFormat/>
    <w:rsid w:val="00AC70B3"/>
    <w:rPr>
      <w:b/>
      <w:bCs/>
      <w:smallCaps/>
      <w:color w:val="0F4761" w:themeColor="accent1" w:themeShade="BF"/>
      <w:spacing w:val="5"/>
    </w:rPr>
  </w:style>
  <w:style w:type="paragraph" w:styleId="ae">
    <w:name w:val="Normal (Web)"/>
    <w:basedOn w:val="a"/>
    <w:link w:val="af"/>
    <w:qFormat/>
    <w:rsid w:val="005673B7"/>
    <w:pPr>
      <w:widowControl/>
      <w:spacing w:line="360" w:lineRule="auto"/>
    </w:pPr>
    <w:rPr>
      <w:rFonts w:eastAsia="等线" w:cs="Times New Roman"/>
      <w:bCs w:val="0"/>
      <w:kern w:val="0"/>
      <w:sz w:val="24"/>
    </w:rPr>
  </w:style>
  <w:style w:type="character" w:customStyle="1" w:styleId="af">
    <w:name w:val="普通(网站) 字符"/>
    <w:basedOn w:val="a0"/>
    <w:link w:val="ae"/>
    <w:autoRedefine/>
    <w:qFormat/>
    <w:rsid w:val="005673B7"/>
    <w:rPr>
      <w:rFonts w:ascii="Times New Roman" w:eastAsia="等线" w:hAnsi="Times New Roman" w:cs="Times New Roman"/>
      <w:b/>
      <w:iCs/>
      <w:kern w:val="0"/>
      <w:sz w:val="24"/>
      <w:szCs w:val="36"/>
    </w:rPr>
  </w:style>
  <w:style w:type="paragraph" w:styleId="af0">
    <w:name w:val="header"/>
    <w:basedOn w:val="a"/>
    <w:link w:val="af1"/>
    <w:uiPriority w:val="99"/>
    <w:unhideWhenUsed/>
    <w:rsid w:val="000F0AD3"/>
    <w:pPr>
      <w:tabs>
        <w:tab w:val="center" w:pos="4153"/>
        <w:tab w:val="right" w:pos="8306"/>
      </w:tabs>
      <w:snapToGrid w:val="0"/>
      <w:jc w:val="center"/>
    </w:pPr>
    <w:rPr>
      <w:sz w:val="18"/>
      <w:szCs w:val="18"/>
    </w:rPr>
  </w:style>
  <w:style w:type="character" w:customStyle="1" w:styleId="af1">
    <w:name w:val="页眉 字符"/>
    <w:basedOn w:val="a0"/>
    <w:link w:val="af0"/>
    <w:uiPriority w:val="99"/>
    <w:rsid w:val="000F0AD3"/>
    <w:rPr>
      <w:rFonts w:ascii="Times New Roman" w:eastAsia="宋体" w:hAnsi="Times New Roman"/>
      <w:b/>
      <w:bCs/>
      <w:iCs/>
      <w:sz w:val="18"/>
      <w:szCs w:val="18"/>
    </w:rPr>
  </w:style>
  <w:style w:type="paragraph" w:styleId="af2">
    <w:name w:val="footer"/>
    <w:basedOn w:val="a"/>
    <w:link w:val="af3"/>
    <w:uiPriority w:val="99"/>
    <w:unhideWhenUsed/>
    <w:rsid w:val="000F0AD3"/>
    <w:pPr>
      <w:tabs>
        <w:tab w:val="center" w:pos="4153"/>
        <w:tab w:val="right" w:pos="8306"/>
      </w:tabs>
      <w:snapToGrid w:val="0"/>
      <w:jc w:val="left"/>
    </w:pPr>
    <w:rPr>
      <w:sz w:val="18"/>
      <w:szCs w:val="18"/>
    </w:rPr>
  </w:style>
  <w:style w:type="character" w:customStyle="1" w:styleId="af3">
    <w:name w:val="页脚 字符"/>
    <w:basedOn w:val="a0"/>
    <w:link w:val="af2"/>
    <w:uiPriority w:val="99"/>
    <w:rsid w:val="000F0AD3"/>
    <w:rPr>
      <w:rFonts w:ascii="Times New Roman" w:eastAsia="宋体" w:hAnsi="Times New Roman"/>
      <w:b/>
      <w:bCs/>
      <w:iCs/>
      <w:sz w:val="18"/>
      <w:szCs w:val="18"/>
    </w:rPr>
  </w:style>
  <w:style w:type="character" w:styleId="af4">
    <w:name w:val="line number"/>
    <w:basedOn w:val="a0"/>
    <w:uiPriority w:val="99"/>
    <w:semiHidden/>
    <w:unhideWhenUsed/>
    <w:rsid w:val="005310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5</Pages>
  <Words>822</Words>
  <Characters>4871</Characters>
  <Application>Microsoft Office Word</Application>
  <DocSecurity>0</DocSecurity>
  <Lines>78</Lines>
  <Paragraphs>49</Paragraphs>
  <ScaleCrop>false</ScaleCrop>
  <Company/>
  <LinksUpToDate>false</LinksUpToDate>
  <CharactersWithSpaces>5644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展 李</dc:creator>
  <cp:keywords/>
  <dc:description/>
  <cp:lastModifiedBy>展 李</cp:lastModifiedBy>
  <cp:revision>43</cp:revision>
  <dcterms:created xsi:type="dcterms:W3CDTF">2025-02-17T14:40:00Z</dcterms:created>
  <dcterms:modified xsi:type="dcterms:W3CDTF">2025-11-20T15:24:00Z</dcterms:modified>
</cp:coreProperties>
</file>