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392C8E">
      <w:pPr>
        <w:pStyle w:val="19"/>
        <w:keepNext/>
        <w:keepLines w:val="0"/>
        <w:pageBreakBefore w:val="0"/>
        <w:widowControl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jc w:val="both"/>
        <w:textAlignment w:val="auto"/>
        <w:rPr>
          <w:sz w:val="28"/>
          <w:szCs w:val="28"/>
        </w:rPr>
      </w:pPr>
      <w:r>
        <w:rPr>
          <w:rFonts w:hint="eastAsia" w:ascii="Times New Roman" w:hAnsi="Times New Roman" w:cs="Times New Roman"/>
          <w:i w:val="0"/>
          <w:iCs/>
          <w:sz w:val="28"/>
          <w:szCs w:val="28"/>
          <w:lang w:val="en-US" w:eastAsia="zh-CN"/>
        </w:rPr>
        <w:t>Table S2. The ASRs</w:t>
      </w:r>
      <w:bookmarkStart w:id="0" w:name="_GoBack"/>
      <w:bookmarkEnd w:id="0"/>
      <w:r>
        <w:rPr>
          <w:rFonts w:hint="default" w:ascii="Times New Roman" w:hAnsi="Times New Roman" w:cs="Times New Roman"/>
          <w:i w:val="0"/>
          <w:iCs/>
          <w:sz w:val="28"/>
          <w:szCs w:val="28"/>
        </w:rPr>
        <w:t xml:space="preserve"> of </w:t>
      </w:r>
      <w:r>
        <w:rPr>
          <w:rFonts w:hint="eastAsia" w:ascii="Times New Roman" w:hAnsi="Times New Roman" w:cs="Times New Roman"/>
          <w:i w:val="0"/>
          <w:iCs/>
          <w:sz w:val="28"/>
          <w:szCs w:val="28"/>
          <w:lang w:val="en-US" w:eastAsia="zh-CN"/>
        </w:rPr>
        <w:t>incidence</w:t>
      </w:r>
      <w:r>
        <w:rPr>
          <w:rFonts w:hint="default" w:ascii="Times New Roman" w:hAnsi="Times New Roman" w:cs="Times New Roman"/>
          <w:i w:val="0"/>
          <w:iCs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i w:val="0"/>
          <w:iCs/>
          <w:sz w:val="28"/>
          <w:szCs w:val="28"/>
          <w:lang w:val="en-US" w:eastAsia="zh-CN"/>
        </w:rPr>
        <w:t>and</w:t>
      </w:r>
      <w:r>
        <w:rPr>
          <w:rFonts w:hint="eastAsia" w:ascii="Times New Roman" w:hAnsi="Times New Roman" w:cs="Times New Roman"/>
          <w:i w:val="0"/>
          <w:iCs/>
          <w:sz w:val="28"/>
          <w:szCs w:val="28"/>
          <w:lang w:val="en-US" w:eastAsia="zh-CN"/>
        </w:rPr>
        <w:t xml:space="preserve"> prevalence </w:t>
      </w:r>
      <w:r>
        <w:rPr>
          <w:rFonts w:hint="default" w:ascii="Times New Roman" w:hAnsi="Times New Roman" w:cs="Times New Roman"/>
          <w:i w:val="0"/>
          <w:iCs/>
          <w:sz w:val="28"/>
          <w:szCs w:val="28"/>
        </w:rPr>
        <w:t xml:space="preserve">of </w:t>
      </w:r>
      <w:r>
        <w:rPr>
          <w:rFonts w:hint="eastAsia" w:ascii="Times New Roman" w:hAnsi="Times New Roman" w:cs="Times New Roman"/>
          <w:i w:val="0"/>
          <w:iCs/>
          <w:sz w:val="28"/>
          <w:szCs w:val="28"/>
          <w:lang w:val="en-US" w:eastAsia="zh-CN"/>
        </w:rPr>
        <w:t>BCC</w:t>
      </w:r>
      <w:r>
        <w:rPr>
          <w:rFonts w:hint="eastAsia" w:ascii="Times New Roman" w:hAnsi="Times New Roman" w:eastAsia="Segoe UI" w:cs="Times New Roman"/>
          <w:b/>
          <w:bCs/>
          <w:i w:val="0"/>
          <w:iCs w:val="0"/>
          <w:caps w:val="0"/>
          <w:color w:val="101214"/>
          <w:spacing w:val="0"/>
          <w:sz w:val="28"/>
          <w:szCs w:val="28"/>
          <w:shd w:val="clear" w:fill="FFFFFF"/>
          <w:lang w:val="en-US" w:eastAsia="zh-CN"/>
        </w:rPr>
        <w:t xml:space="preserve"> </w:t>
      </w:r>
      <w:r>
        <w:rPr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101214"/>
          <w:spacing w:val="0"/>
          <w:sz w:val="28"/>
          <w:szCs w:val="28"/>
          <w:shd w:val="clear" w:fill="FFFFFF"/>
          <w:lang w:val="en-US" w:eastAsia="zh-CN"/>
        </w:rPr>
        <w:t>from 1990 to 20</w:t>
      </w:r>
      <w:r>
        <w:rPr>
          <w:rFonts w:hint="eastAsia" w:ascii="Times New Roman" w:hAnsi="Times New Roman" w:eastAsia="Segoe UI" w:cs="Times New Roman"/>
          <w:b/>
          <w:bCs/>
          <w:i w:val="0"/>
          <w:iCs w:val="0"/>
          <w:caps w:val="0"/>
          <w:color w:val="101214"/>
          <w:spacing w:val="0"/>
          <w:sz w:val="28"/>
          <w:szCs w:val="28"/>
          <w:shd w:val="clear" w:fill="FFFFFF"/>
          <w:lang w:val="en-US" w:eastAsia="zh-CN"/>
        </w:rPr>
        <w:t>21</w:t>
      </w:r>
      <w:r>
        <w:rPr>
          <w:rFonts w:hint="default" w:ascii="Times New Roman" w:hAnsi="Times New Roman" w:cs="Times New Roman"/>
          <w:i w:val="0"/>
          <w:iCs/>
          <w:sz w:val="28"/>
          <w:szCs w:val="28"/>
        </w:rPr>
        <w:t>.</w:t>
      </w:r>
    </w:p>
    <w:p w14:paraId="5E236861">
      <w:pPr>
        <w:pStyle w:val="19"/>
        <w:keepNext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before="60" w:after="60" w:line="240" w:lineRule="auto"/>
        <w:ind w:left="60" w:right="60" w:firstLine="0" w:firstLineChars="0"/>
        <w:jc w:val="center"/>
      </w:pPr>
    </w:p>
    <w:tbl>
      <w:tblPr>
        <w:tblStyle w:val="8"/>
        <w:tblW w:w="1434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5"/>
        <w:gridCol w:w="1987"/>
        <w:gridCol w:w="2050"/>
        <w:gridCol w:w="1990"/>
        <w:gridCol w:w="470"/>
        <w:gridCol w:w="1890"/>
        <w:gridCol w:w="1880"/>
        <w:gridCol w:w="2152"/>
      </w:tblGrid>
      <w:tr w14:paraId="653D86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25" w:type="dxa"/>
            <w:vMerge w:val="restart"/>
            <w:tcBorders>
              <w:top w:val="single" w:color="000000" w:sz="12" w:space="0"/>
              <w:left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A024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L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ocation</w:t>
            </w:r>
          </w:p>
        </w:tc>
        <w:tc>
          <w:tcPr>
            <w:tcW w:w="6027" w:type="dxa"/>
            <w:gridSpan w:val="3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187A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Incidence</w:t>
            </w:r>
          </w:p>
        </w:tc>
        <w:tc>
          <w:tcPr>
            <w:tcW w:w="470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6DB2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922" w:type="dxa"/>
            <w:gridSpan w:val="3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25E2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Prevalence</w:t>
            </w:r>
          </w:p>
        </w:tc>
      </w:tr>
      <w:tr w14:paraId="1106BB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25" w:type="dxa"/>
            <w:vMerge w:val="continue"/>
            <w:tcBorders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2DD8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87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3DF0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1990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(95% UI)</w:t>
            </w:r>
          </w:p>
        </w:tc>
        <w:tc>
          <w:tcPr>
            <w:tcW w:w="2050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E2D7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(95% UI)</w:t>
            </w:r>
          </w:p>
        </w:tc>
        <w:tc>
          <w:tcPr>
            <w:tcW w:w="1990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9272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Change,%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(95% UI)</w:t>
            </w:r>
          </w:p>
        </w:tc>
        <w:tc>
          <w:tcPr>
            <w:tcW w:w="470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D920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0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78D7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1990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(95% UI)</w:t>
            </w:r>
          </w:p>
        </w:tc>
        <w:tc>
          <w:tcPr>
            <w:tcW w:w="1880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E7CF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(95% UI)</w:t>
            </w:r>
          </w:p>
        </w:tc>
        <w:tc>
          <w:tcPr>
            <w:tcW w:w="2152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41BA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Change,%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(95% UI)</w:t>
            </w:r>
          </w:p>
        </w:tc>
      </w:tr>
      <w:tr w14:paraId="0A2162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25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92A3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Global</w:t>
            </w:r>
          </w:p>
        </w:tc>
        <w:tc>
          <w:tcPr>
            <w:tcW w:w="1987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682D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31.67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(26.34,37.03)</w:t>
            </w:r>
          </w:p>
        </w:tc>
        <w:tc>
          <w:tcPr>
            <w:tcW w:w="205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ADCB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51.71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  <w:t>(45.7,57.58)</w:t>
            </w:r>
          </w:p>
        </w:tc>
        <w:tc>
          <w:tcPr>
            <w:tcW w:w="199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A1D3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63.3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(52.54,77.53)</w:t>
            </w:r>
          </w:p>
        </w:tc>
        <w:tc>
          <w:tcPr>
            <w:tcW w:w="47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CD09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6235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3.73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(3.07,4.37)</w:t>
            </w:r>
          </w:p>
        </w:tc>
        <w:tc>
          <w:tcPr>
            <w:tcW w:w="188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41AC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5.66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(4.88,6.44)</w:t>
            </w:r>
          </w:p>
        </w:tc>
        <w:tc>
          <w:tcPr>
            <w:tcW w:w="2152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F48C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51.68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(42.83,64.18)</w:t>
            </w:r>
          </w:p>
        </w:tc>
      </w:tr>
      <w:tr w14:paraId="3FA1A0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0309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Africa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F89E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4.97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(3.82,6.05)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7339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5.11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(3.83,6.29)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E93F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2.77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(0.31,4.91)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BD40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8251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(0.5,0.77)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FFE7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(0.5,0.79)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BB47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1.76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(-0.82,4.02)</w:t>
            </w:r>
          </w:p>
        </w:tc>
      </w:tr>
      <w:tr w14:paraId="0E2518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E93C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America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4EAC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134.41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(108.66,160.02)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277F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237.8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(215.35,260.46)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3BFD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76.91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(59.62,103.84)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C7B8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84FF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14.4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(11.63,17.04)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B541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24.26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(21.28,27.3)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70F3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68.42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(53.52,91.57)</w:t>
            </w:r>
          </w:p>
        </w:tc>
      </w:tr>
      <w:tr w14:paraId="093044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A7BB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Asia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8A5F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3.53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(2.86,4.2)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1434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14.83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(12.15,17.33)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766E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319.66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(299.08,340.72)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CB03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8F99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(0.42,0.63)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37BC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1.83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(1.51,2.15)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FD92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249.6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(228.74,271.48)</w:t>
            </w:r>
          </w:p>
        </w:tc>
      </w:tr>
      <w:tr w14:paraId="501011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E762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Europe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DBE7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27.67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(24.29,31.26)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BC8C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28.33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(22.65,34.75)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B28C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(-8.05,11.13)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2CA4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3B5B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3.93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(3.33,4.51)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3BB0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3.98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(3.12,4.8)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4F5F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1.27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(-8.92,9.2)</w:t>
            </w:r>
          </w:p>
        </w:tc>
      </w:tr>
      <w:tr w14:paraId="7A8333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34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DDEB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0" w:right="100" w:firstLine="440" w:firstLineChars="200"/>
              <w:jc w:val="both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SDI regions</w:t>
            </w:r>
          </w:p>
        </w:tc>
      </w:tr>
      <w:tr w14:paraId="2076EE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2488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High SDI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7B5E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81.28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(66.41,96.12)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BF23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165.5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(148.64,181.49)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B29C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103.61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(86.08,129.64)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3C45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41A4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(7.54,10.76)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7ED4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17.36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(15.18,19.57)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5527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88.61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(74.36,109.79)</w:t>
            </w:r>
          </w:p>
        </w:tc>
      </w:tr>
      <w:tr w14:paraId="380A26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CD49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High-middle SDI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B8D1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16.33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(14.1,18.63)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111D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(22.24,31.77)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D088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65.4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(57.44,72.09)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145F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586A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2.32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(1.94,2.69)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1AFF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3.52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(2.89,4.12)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E292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(42.97,60.53)</w:t>
            </w:r>
          </w:p>
        </w:tc>
      </w:tr>
      <w:tr w14:paraId="2EE608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A8F4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Middle SDI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3C2A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10.59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(8.91,12.26)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3057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19.23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(15.66,22.48)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4D01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81.6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(73.98,88.1)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B4D4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5ED0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1.29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(1.07,1.5)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6C13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2.27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(1.85,2.68)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7551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75.98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(69.01,82.76)</w:t>
            </w:r>
          </w:p>
        </w:tc>
      </w:tr>
      <w:tr w14:paraId="4B3E88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3D72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Low-middle SDI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EDC2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5.11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(4.18,6.01)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23CC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4.48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(3.47,5.48)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7F7B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-12.39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(-17.57,-7.64)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8802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0C08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(0.5,0.73)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F45C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(0.43,0.67)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051B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-10.41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(-14.91,-5.98)</w:t>
            </w:r>
          </w:p>
        </w:tc>
      </w:tr>
      <w:tr w14:paraId="457AEF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FBF5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Low SDI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8389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2.76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(2.06,3.42)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8C02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2.74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(2.05,3.4)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D5D5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-0.65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(-2.35,0.62)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C678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A3F9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(0.26,0.43)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84EC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(0.26,0.42)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1788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-1.29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(-3.36,0.54)</w:t>
            </w:r>
          </w:p>
        </w:tc>
      </w:tr>
      <w:tr w14:paraId="7AA0F7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34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8F98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0" w:right="100" w:firstLine="440" w:firstLineChars="200"/>
              <w:jc w:val="both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GBD regions</w:t>
            </w:r>
          </w:p>
        </w:tc>
      </w:tr>
      <w:tr w14:paraId="55EDC3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426B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Andean Latin America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A0F9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15.49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(14.01,17.11)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CD24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11.49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(8.94,14.03)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915C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-25.86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(-37.76,-15.64)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A3B1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83D8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2.14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(1.85,2.49)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E700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1.64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(1.27,2.01)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FC04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-23.32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(-35.81,-13.74)</w:t>
            </w:r>
          </w:p>
        </w:tc>
      </w:tr>
      <w:tr w14:paraId="723D29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73F1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Australasia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ACB1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29.07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(22.84,35.21)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A269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27.05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(21.34,33.05)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AEEB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-6.94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(-11.31,-2.67)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0F32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D13B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4.43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(3.46,5.34)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B234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4.12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(3.23,5.04)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4B18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-6.87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(-11.71,-1.45)</w:t>
            </w:r>
          </w:p>
        </w:tc>
      </w:tr>
      <w:tr w14:paraId="52349F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D8E9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Caribbean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2C94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6.25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(4.82,7.6)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9294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(4.03,6.56)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9DF6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-15.23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(-20.53,-10.46)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3408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E700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(0.73,1.13)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04FA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(0.6,0.97)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EAEE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-15.85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(-21.11,-11.04)</w:t>
            </w:r>
          </w:p>
        </w:tc>
      </w:tr>
      <w:tr w14:paraId="6FD8D5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3819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Central Asia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BA219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23.06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(18.06,27.89)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F34C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23.19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(17.99,28.25)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F4BC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(-1.87,2.93)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DD2F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A5EF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2.91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(2.3,3.51)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5EAE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2.89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(2.26,3.52)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425E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-0.79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(-4.02,2.36)</w:t>
            </w:r>
          </w:p>
        </w:tc>
      </w:tr>
      <w:tr w14:paraId="2EB122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CB31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Central Europe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7465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22.48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(19.93,25.14)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147E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25.46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(20.33,30.89)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75AA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13.27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(1.89,23.8)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BB37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7336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3.07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(2.6,3.51)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7D2A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3.42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(2.7,4.11)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05B6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11.29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(1.43,20.81)</w:t>
            </w:r>
          </w:p>
        </w:tc>
      </w:tr>
      <w:tr w14:paraId="6C9F3C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603E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Central Latin America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7E7E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27.99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(22.35,33.68)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8445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27.74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(22.07,33.6)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D70F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(-2.34,0.56)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5A9B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C818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3.53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(2.8,4.25)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901D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3.48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(2.77,4.17)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98C5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-1.29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(-3.24,0.61)</w:t>
            </w:r>
          </w:p>
        </w:tc>
      </w:tr>
      <w:tr w14:paraId="5A381F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9711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Central Sub-Saharan Africa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E338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4.52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(3.37,5.53)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EA03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4.47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(3.36,5.5)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39D6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(-5.39,2.57)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33A0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A8B2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(0.42,0.69)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7E36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(0.42,0.67)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CCCE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-2.11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(-7.55,2.68)</w:t>
            </w:r>
          </w:p>
        </w:tc>
      </w:tr>
      <w:tr w14:paraId="01BD28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23D8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East Asia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7705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3.66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(2.99,4.31)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2F3B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30.5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(25.42,35.33)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2388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733.28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(685.24,780.55)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6F2F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BEDF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(0.43,0.65)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C820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3.69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(3.07,4.33)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7790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587.77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(540.05,637.57)</w:t>
            </w:r>
          </w:p>
        </w:tc>
      </w:tr>
      <w:tr w14:paraId="7078EF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8B13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Eastern Europe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07F7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15.53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(12.44,18.81)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2474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18.41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(14.38,22.58)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09AD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18.6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(15.21,21.88)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235F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2048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2.07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(1.63,2.49)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5860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(1.86,2.92)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1EDE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16.13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(12.36,19.78)</w:t>
            </w:r>
          </w:p>
        </w:tc>
      </w:tr>
      <w:tr w14:paraId="615670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7A02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Eastern Sub-Saharan Africa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3D2F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3.85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(2.89,4.72)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A7CB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3.75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(2.8,4.64)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6015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-2.57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(-4.18,-1.27)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CD9A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4B40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(0.37,0.59)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B50D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(0.36,0.57)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9D8D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-3.1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(-5.08,-1.39)</w:t>
            </w:r>
          </w:p>
        </w:tc>
      </w:tr>
      <w:tr w14:paraId="60709D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138E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High-income Asia Pacific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DBC2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2.64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(2.16,3.15)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EC3F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3.79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(3.16,4.51)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6BB4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43.71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(40.53,47.1)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1F8D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8335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(0.44,0.68)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D63C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(0.6,0.92)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5E28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35.23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(31.75,38.84)</w:t>
            </w:r>
          </w:p>
        </w:tc>
      </w:tr>
      <w:tr w14:paraId="0DB30F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B491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High-income North America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527E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208.67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(166.52,248.69)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6AF3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473.14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(428.99,516.59)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3294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126.74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(103.04,165.14)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1882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F726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22.1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(17.7,26.27)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EDD5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47.78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(42.16,53.19)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3D76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116.19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(95.21,150.45)</w:t>
            </w:r>
          </w:p>
        </w:tc>
      </w:tr>
      <w:tr w14:paraId="1FFF0D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59F9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North Africa and Middle East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F364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7.03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(5.89,8.2)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5A81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5.98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(4.64,7.3)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C55E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-14.93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(-21.26,-9.94)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146E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30DF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1.02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(0.84,1.22)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E962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(0.69,1.08)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D4BA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-13.3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(-20.06,-8.31)</w:t>
            </w:r>
          </w:p>
        </w:tc>
      </w:tr>
      <w:tr w14:paraId="548DAE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5DB8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Oceania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184E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(0.07,0.22)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23AC0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(0.07,0.22)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5762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(-9.14,7.65)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2C42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89D8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(0.01,0.03)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8F49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(0.01,0.03)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7227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-1.46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(-11.28,6.74)</w:t>
            </w:r>
          </w:p>
        </w:tc>
      </w:tr>
      <w:tr w14:paraId="7F76E4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FD69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South Asia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A3AC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1.25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(0.93,1.58)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4A7A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1.36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(1.04,1.71)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2742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9.12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(5.67,12.75)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9183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F883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(0.12,0.2)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AD7F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(0.13,0.22)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1DE0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9.35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(5.82,13.14)</w:t>
            </w:r>
          </w:p>
        </w:tc>
      </w:tr>
      <w:tr w14:paraId="1CD798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5DC4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Southeast Asia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0D13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2.19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(1.87,2.55)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5470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(1.13,1.89)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DF5C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-31.24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(-39.69,-24.35)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F459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5D07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(0.26,0.38)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9498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(0.17,0.28)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0802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-30.1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(-39.36,-22.69)</w:t>
            </w:r>
          </w:p>
        </w:tc>
      </w:tr>
      <w:tr w14:paraId="5DE96F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2240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Southern Latin America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AE5B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22.45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(19.34,25.32)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5E28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21.75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(17.06,26.6)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395A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-3.14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(-15.63,8.47)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703A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5FA4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3.22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(2.72,3.79)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FA0D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3.12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(2.43,3.79)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1670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-3.25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(-14.37,8.15)</w:t>
            </w:r>
          </w:p>
        </w:tc>
      </w:tr>
      <w:tr w14:paraId="3764EC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F4E0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Southern Sub-Saharan Africa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C068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15.98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(12.16,19.52)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641D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19.29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(14.59,23.53)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4501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20.74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(17.88,23.38)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2DB8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1A3D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1.87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(1.45,2.28)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B147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2.23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(1.73,2.73)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E074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19.13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(16.11,22.28)</w:t>
            </w:r>
          </w:p>
        </w:tc>
      </w:tr>
      <w:tr w14:paraId="0A54C8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EC44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Tropical Latin America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AB1D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64.2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(56.17,71.8)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23EC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37.82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(30.97,44.64)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DACA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-41.08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(-46.29,-35.84)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D6B3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6185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6.82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(5.86,7.72)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6E62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4.22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(3.49,4.97)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0F28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-38.11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(-43.39,-33.16)</w:t>
            </w:r>
          </w:p>
        </w:tc>
      </w:tr>
      <w:tr w14:paraId="6A3FAE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D599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Western Europe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DC6D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35.96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(31.93,40.13)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0072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35.31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(28.04,43.12)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DA5E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(-13.59,8.08)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57DC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7270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5.22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(4.48,5.96)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8CB2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5.09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(3.98,6.11)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3513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-2.5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(-13.97,6.17)</w:t>
            </w:r>
          </w:p>
        </w:tc>
      </w:tr>
      <w:tr w14:paraId="0B04A0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25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56D8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Western Sub-Saharan Africa</w:t>
            </w:r>
          </w:p>
        </w:tc>
        <w:tc>
          <w:tcPr>
            <w:tcW w:w="1987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DCC7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2.88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(2.15,3.56)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7072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2.86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(2.15,3.54)</w:t>
            </w:r>
          </w:p>
        </w:tc>
        <w:tc>
          <w:tcPr>
            <w:tcW w:w="199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8352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-0.68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(-1.82,0.43)</w:t>
            </w:r>
          </w:p>
        </w:tc>
        <w:tc>
          <w:tcPr>
            <w:tcW w:w="47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9D65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5364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(0.29,0.47)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D2D1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(0.28,0.46)</w:t>
            </w:r>
          </w:p>
        </w:tc>
        <w:tc>
          <w:tcPr>
            <w:tcW w:w="2152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A4A0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-1.92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(-3.34,-0.46)</w:t>
            </w:r>
          </w:p>
        </w:tc>
      </w:tr>
    </w:tbl>
    <w:p w14:paraId="3DF64B4D">
      <w:pPr>
        <w:rPr>
          <w:rFonts w:hint="default" w:ascii="Times New Roman" w:hAnsi="Times New Roman" w:cs="Times New Roman" w:eastAsiaTheme="minorEastAsia"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ASR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 xml:space="preserve"> = 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age standardized rate; DALYs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 xml:space="preserve"> = 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disability-adjusted life years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 xml:space="preserve">; </w:t>
      </w:r>
      <w:r>
        <w:rPr>
          <w:rFonts w:hint="default" w:ascii="Times New Roman" w:hAnsi="Times New Roman" w:eastAsia="宋体" w:cs="Times New Roman"/>
          <w:bCs/>
          <w:iCs/>
          <w:kern w:val="2"/>
          <w:sz w:val="22"/>
          <w:szCs w:val="22"/>
          <w:lang w:val="en-US" w:eastAsia="zh-CN" w:bidi="ar"/>
        </w:rPr>
        <w:t>BCC = basal cell carcinoma</w:t>
      </w:r>
      <w:r>
        <w:rPr>
          <w:rFonts w:hint="eastAsia" w:ascii="Times New Roman" w:hAnsi="Times New Roman" w:eastAsia="宋体" w:cs="Times New Roman"/>
          <w:bCs/>
          <w:iCs/>
          <w:kern w:val="2"/>
          <w:sz w:val="22"/>
          <w:szCs w:val="22"/>
          <w:lang w:val="en-US" w:eastAsia="zh-CN" w:bidi="ar"/>
        </w:rPr>
        <w:t>;</w:t>
      </w:r>
      <w:r>
        <w:rPr>
          <w:rFonts w:hint="eastAsia" w:ascii="Times New Roman" w:hAnsi="Times New Roman" w:eastAsia="宋体" w:cs="Times New Roman"/>
          <w:bCs/>
          <w:iCs/>
          <w:kern w:val="2"/>
          <w:sz w:val="28"/>
          <w:szCs w:val="28"/>
          <w:lang w:val="en-US" w:eastAsia="zh-CN" w:bidi="ar"/>
        </w:rPr>
        <w:t xml:space="preserve"> </w:t>
      </w:r>
      <w:r>
        <w:rPr>
          <w:rFonts w:hint="eastAsia" w:ascii="Times New Roman" w:hAnsi="Times New Roman" w:cs="Times New Roman"/>
          <w:color w:val="0E101A"/>
          <w:sz w:val="22"/>
          <w:szCs w:val="22"/>
          <w:lang w:val="en-US" w:eastAsia="zh-CN"/>
        </w:rPr>
        <w:t xml:space="preserve">UI = </w:t>
      </w:r>
      <w:r>
        <w:rPr>
          <w:rFonts w:hint="eastAsia" w:ascii="Times New Roman" w:hAnsi="Times New Roman" w:cs="Times New Roman"/>
          <w:color w:val="0E101A"/>
          <w:sz w:val="22"/>
          <w:szCs w:val="22"/>
        </w:rPr>
        <w:t>uncertainty interval</w:t>
      </w:r>
      <w:r>
        <w:rPr>
          <w:rFonts w:hint="eastAsia" w:ascii="Times New Roman" w:hAnsi="Times New Roman" w:cs="Times New Roman"/>
          <w:color w:val="0E101A"/>
          <w:sz w:val="22"/>
          <w:szCs w:val="22"/>
          <w:lang w:val="en-US" w:eastAsia="zh-CN"/>
        </w:rPr>
        <w:t>.</w:t>
      </w:r>
    </w:p>
    <w:p w14:paraId="4E943402"/>
    <w:sectPr>
      <w:type w:val="continuous"/>
      <w:pgSz w:w="16848" w:h="11952" w:orient="landscape"/>
      <w:pgMar w:top="1440" w:right="1440" w:bottom="1440" w:left="1440" w:header="720" w:footer="720" w:gutter="72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Lucida Grande">
    <w:altName w:val="Courier New"/>
    <w:panose1 w:val="020B0600040502020204"/>
    <w:charset w:val="00"/>
    <w:family w:val="auto"/>
    <w:pitch w:val="default"/>
    <w:sig w:usb0="00000000" w:usb1="00000000" w:usb2="00000000" w:usb3="00000000" w:csb0="000001B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E925FD"/>
    <w:multiLevelType w:val="multilevel"/>
    <w:tmpl w:val="07E925FD"/>
    <w:lvl w:ilvl="0" w:tentative="0">
      <w:start w:val="1"/>
      <w:numFmt w:val="decimal"/>
      <w:pStyle w:val="2"/>
      <w:lvlText w:val="%1."/>
      <w:lvlJc w:val="left"/>
      <w:pPr>
        <w:ind w:left="360" w:hanging="360"/>
      </w:pPr>
    </w:lvl>
    <w:lvl w:ilvl="1" w:tentative="0">
      <w:start w:val="1"/>
      <w:numFmt w:val="decimal"/>
      <w:pStyle w:val="3"/>
      <w:lvlText w:val="%1.%2."/>
      <w:lvlJc w:val="left"/>
      <w:pPr>
        <w:ind w:left="792" w:hanging="432"/>
      </w:pPr>
    </w:lvl>
    <w:lvl w:ilvl="2" w:tentative="0">
      <w:start w:val="1"/>
      <w:numFmt w:val="decimal"/>
      <w:pStyle w:val="4"/>
      <w:lvlText w:val="%1.%2.%3."/>
      <w:lvlJc w:val="left"/>
      <w:pPr>
        <w:ind w:left="1224" w:hanging="504"/>
      </w:pPr>
    </w:lvl>
    <w:lvl w:ilvl="3" w:tentative="0">
      <w:start w:val="1"/>
      <w:numFmt w:val="decimal"/>
      <w:lvlText w:val="%1.%2.%3.%4."/>
      <w:lvlJc w:val="left"/>
      <w:pPr>
        <w:ind w:left="1728" w:hanging="648"/>
      </w:pPr>
    </w:lvl>
    <w:lvl w:ilvl="4" w:tentative="0">
      <w:start w:val="1"/>
      <w:numFmt w:val="decimal"/>
      <w:lvlText w:val="%1.%2.%3.%4.%5."/>
      <w:lvlJc w:val="left"/>
      <w:pPr>
        <w:ind w:left="2232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08"/>
  <w:hyphenationZone w:val="425"/>
  <w:displayHorizontalDrawingGridEvery w:val="0"/>
  <w:displayVerticalDrawingGridEvery w:val="2"/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</w:compat>
  <w:docVars>
    <w:docVar w:name="commondata" w:val="eyJoZGlkIjoiYmY2MDgxYTk1ZGFmZjZhMzk1MTliOGNhYTNmZDU1NjQifQ=="/>
  </w:docVars>
  <w:rsids>
    <w:rsidRoot w:val="00000000"/>
    <w:rsid w:val="01EF3980"/>
    <w:rsid w:val="027F6AB2"/>
    <w:rsid w:val="02873BB9"/>
    <w:rsid w:val="035717DD"/>
    <w:rsid w:val="03906A9D"/>
    <w:rsid w:val="03E05C76"/>
    <w:rsid w:val="03F1578E"/>
    <w:rsid w:val="04387860"/>
    <w:rsid w:val="04C11604"/>
    <w:rsid w:val="04E470A0"/>
    <w:rsid w:val="05F72E03"/>
    <w:rsid w:val="077E40B3"/>
    <w:rsid w:val="07B70A9C"/>
    <w:rsid w:val="0992531D"/>
    <w:rsid w:val="0B455A00"/>
    <w:rsid w:val="0CA57A5D"/>
    <w:rsid w:val="0CEB1914"/>
    <w:rsid w:val="0DBA3094"/>
    <w:rsid w:val="0DEB5944"/>
    <w:rsid w:val="0E5232CD"/>
    <w:rsid w:val="0E6A6868"/>
    <w:rsid w:val="0E8813E4"/>
    <w:rsid w:val="0E9B4C74"/>
    <w:rsid w:val="0EBC4BEA"/>
    <w:rsid w:val="10134CDE"/>
    <w:rsid w:val="10280789"/>
    <w:rsid w:val="10EE19D3"/>
    <w:rsid w:val="12887C05"/>
    <w:rsid w:val="134C478E"/>
    <w:rsid w:val="16184DFC"/>
    <w:rsid w:val="16F413C5"/>
    <w:rsid w:val="1739327C"/>
    <w:rsid w:val="19AC5F87"/>
    <w:rsid w:val="1A450189"/>
    <w:rsid w:val="1B966EEF"/>
    <w:rsid w:val="1CEB5018"/>
    <w:rsid w:val="1D0B1216"/>
    <w:rsid w:val="1D3F7112"/>
    <w:rsid w:val="1DB418AE"/>
    <w:rsid w:val="1DF223D6"/>
    <w:rsid w:val="1E8E20FF"/>
    <w:rsid w:val="1F0B7BF4"/>
    <w:rsid w:val="20564E9E"/>
    <w:rsid w:val="211B1C44"/>
    <w:rsid w:val="21817CF9"/>
    <w:rsid w:val="21B24356"/>
    <w:rsid w:val="22EA7B20"/>
    <w:rsid w:val="243F5C4A"/>
    <w:rsid w:val="2443573A"/>
    <w:rsid w:val="24747FE9"/>
    <w:rsid w:val="27D668C5"/>
    <w:rsid w:val="27D8263D"/>
    <w:rsid w:val="28C66939"/>
    <w:rsid w:val="2C701096"/>
    <w:rsid w:val="2CB847EB"/>
    <w:rsid w:val="2CEE645F"/>
    <w:rsid w:val="2E8C5F2F"/>
    <w:rsid w:val="2EB72FAC"/>
    <w:rsid w:val="2FA572A9"/>
    <w:rsid w:val="2FA86D99"/>
    <w:rsid w:val="32BA306B"/>
    <w:rsid w:val="3304078A"/>
    <w:rsid w:val="336D27D3"/>
    <w:rsid w:val="33DC34B5"/>
    <w:rsid w:val="351D1FD7"/>
    <w:rsid w:val="35EF74CF"/>
    <w:rsid w:val="35F66A1F"/>
    <w:rsid w:val="37227431"/>
    <w:rsid w:val="384B0C09"/>
    <w:rsid w:val="38DE1A7D"/>
    <w:rsid w:val="39B8407C"/>
    <w:rsid w:val="39DA1C8B"/>
    <w:rsid w:val="39F44F92"/>
    <w:rsid w:val="3A15327D"/>
    <w:rsid w:val="3BEB24E7"/>
    <w:rsid w:val="3E285C74"/>
    <w:rsid w:val="3FEE25A6"/>
    <w:rsid w:val="425A2175"/>
    <w:rsid w:val="443469F5"/>
    <w:rsid w:val="44FD328B"/>
    <w:rsid w:val="464949DA"/>
    <w:rsid w:val="46C6602A"/>
    <w:rsid w:val="4732546E"/>
    <w:rsid w:val="474B6530"/>
    <w:rsid w:val="47CD163B"/>
    <w:rsid w:val="48253225"/>
    <w:rsid w:val="48D507A7"/>
    <w:rsid w:val="4ABD14F2"/>
    <w:rsid w:val="4C6065D9"/>
    <w:rsid w:val="4D245859"/>
    <w:rsid w:val="4DF74D1B"/>
    <w:rsid w:val="4E192EE4"/>
    <w:rsid w:val="4F1D6A04"/>
    <w:rsid w:val="500D0826"/>
    <w:rsid w:val="52497B10"/>
    <w:rsid w:val="525564B4"/>
    <w:rsid w:val="52C71624"/>
    <w:rsid w:val="54414F42"/>
    <w:rsid w:val="54696247"/>
    <w:rsid w:val="54F71AA5"/>
    <w:rsid w:val="5512068D"/>
    <w:rsid w:val="552D3719"/>
    <w:rsid w:val="57064221"/>
    <w:rsid w:val="580A1AEF"/>
    <w:rsid w:val="58831FCD"/>
    <w:rsid w:val="58C83E84"/>
    <w:rsid w:val="597A4A53"/>
    <w:rsid w:val="5B5C08B4"/>
    <w:rsid w:val="5D4B0BE0"/>
    <w:rsid w:val="5DEF5A0F"/>
    <w:rsid w:val="5F4C0C3F"/>
    <w:rsid w:val="637D586B"/>
    <w:rsid w:val="651B62D6"/>
    <w:rsid w:val="65B03CD6"/>
    <w:rsid w:val="66377F53"/>
    <w:rsid w:val="67423054"/>
    <w:rsid w:val="69564B94"/>
    <w:rsid w:val="69B47B0D"/>
    <w:rsid w:val="6C6475C8"/>
    <w:rsid w:val="6CAB51F7"/>
    <w:rsid w:val="6CDE737B"/>
    <w:rsid w:val="6D8617C0"/>
    <w:rsid w:val="6F9E1043"/>
    <w:rsid w:val="70622071"/>
    <w:rsid w:val="71186BD3"/>
    <w:rsid w:val="716342F2"/>
    <w:rsid w:val="72B666A4"/>
    <w:rsid w:val="763D7808"/>
    <w:rsid w:val="7CB73744"/>
    <w:rsid w:val="7E5E36CD"/>
    <w:rsid w:val="7F4620DD"/>
    <w:rsid w:val="7F8976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qFormat="1"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qFormat="1"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numPr>
        <w:ilvl w:val="0"/>
        <w:numId w:val="1"/>
      </w:numPr>
      <w:pBdr>
        <w:bottom w:val="single" w:color="auto" w:sz="4" w:space="1"/>
      </w:pBdr>
      <w:spacing w:before="480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hAnsiTheme="majorHAnsi" w:eastAsiaTheme="majorEastAsia" w:cstheme="majorBidi"/>
      <w:b/>
      <w:bCs/>
      <w:sz w:val="26"/>
      <w:szCs w:val="26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hAnsiTheme="majorHAnsi" w:eastAsiaTheme="majorEastAsia" w:cstheme="majorBidi"/>
      <w:b/>
      <w:bCs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0"/>
    <w:semiHidden/>
    <w:unhideWhenUsed/>
    <w:qFormat/>
    <w:uiPriority w:val="99"/>
    <w:rPr>
      <w:rFonts w:ascii="Lucida Grande" w:hAnsi="Lucida Grande"/>
      <w:sz w:val="18"/>
      <w:szCs w:val="18"/>
    </w:rPr>
  </w:style>
  <w:style w:type="paragraph" w:styleId="6">
    <w:name w:val="toc 1"/>
    <w:basedOn w:val="1"/>
    <w:next w:val="1"/>
    <w:autoRedefine/>
    <w:unhideWhenUsed/>
    <w:qFormat/>
    <w:uiPriority w:val="39"/>
    <w:pPr>
      <w:spacing w:after="100"/>
    </w:pPr>
  </w:style>
  <w:style w:type="paragraph" w:styleId="7">
    <w:name w:val="toc 2"/>
    <w:basedOn w:val="1"/>
    <w:next w:val="1"/>
    <w:autoRedefine/>
    <w:unhideWhenUsed/>
    <w:qFormat/>
    <w:uiPriority w:val="39"/>
    <w:pPr>
      <w:spacing w:after="100"/>
      <w:ind w:left="240"/>
    </w:pPr>
  </w:style>
  <w:style w:type="table" w:styleId="9">
    <w:name w:val="Table Professional"/>
    <w:basedOn w:val="8"/>
    <w:semiHidden/>
    <w:unhideWhenUsed/>
    <w:qFormat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10">
    <w:name w:val="Light List Accent 2"/>
    <w:basedOn w:val="8"/>
    <w:qFormat/>
    <w:uiPriority w:val="61"/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character" w:customStyle="1" w:styleId="12">
    <w:name w:val="strong"/>
    <w:basedOn w:val="11"/>
    <w:qFormat/>
    <w:uiPriority w:val="1"/>
    <w:rPr>
      <w:b/>
    </w:rPr>
  </w:style>
  <w:style w:type="paragraph" w:customStyle="1" w:styleId="13">
    <w:name w:val="centered"/>
    <w:basedOn w:val="1"/>
    <w:qFormat/>
    <w:uiPriority w:val="0"/>
    <w:pPr>
      <w:jc w:val="center"/>
    </w:pPr>
  </w:style>
  <w:style w:type="table" w:customStyle="1" w:styleId="14">
    <w:name w:val="table_template"/>
    <w:basedOn w:val="8"/>
    <w:qFormat/>
    <w:uiPriority w:val="59"/>
    <w:pPr>
      <w:jc w:val="right"/>
    </w:pPr>
    <w:tblPr>
      <w:jc w:val="center"/>
      <w:tblBorders>
        <w:top w:val="single" w:color="auto" w:sz="8" w:space="0"/>
        <w:bottom w:val="single" w:color="auto" w:sz="8" w:space="0"/>
        <w:insideH w:val="single" w:color="auto" w:sz="8" w:space="0"/>
      </w:tblBorders>
    </w:tblPr>
    <w:trPr>
      <w:jc w:val="center"/>
    </w:trPr>
    <w:tblStylePr w:type="firstRow">
      <w:rPr>
        <w:b/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15">
    <w:name w:val="Titre 1 Car"/>
    <w:basedOn w:val="11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6">
    <w:name w:val="Titre 2 Car"/>
    <w:basedOn w:val="11"/>
    <w:link w:val="3"/>
    <w:semiHidden/>
    <w:qFormat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17">
    <w:name w:val="Titre 3 Car"/>
    <w:basedOn w:val="11"/>
    <w:link w:val="4"/>
    <w:semiHidden/>
    <w:qFormat/>
    <w:uiPriority w:val="9"/>
    <w:rPr>
      <w:rFonts w:asciiTheme="majorHAnsi" w:hAnsiTheme="majorHAnsi" w:eastAsiaTheme="majorEastAsia" w:cstheme="majorBidi"/>
      <w:b/>
      <w:bCs/>
    </w:rPr>
  </w:style>
  <w:style w:type="paragraph" w:customStyle="1" w:styleId="18">
    <w:name w:val="Image Caption"/>
    <w:basedOn w:val="1"/>
    <w:qFormat/>
    <w:uiPriority w:val="0"/>
    <w:pPr>
      <w:jc w:val="center"/>
    </w:pPr>
    <w:rPr>
      <w:b/>
      <w:i/>
    </w:rPr>
  </w:style>
  <w:style w:type="paragraph" w:customStyle="1" w:styleId="19">
    <w:name w:val="Table Caption"/>
    <w:basedOn w:val="18"/>
    <w:qFormat/>
    <w:uiPriority w:val="0"/>
  </w:style>
  <w:style w:type="character" w:customStyle="1" w:styleId="20">
    <w:name w:val="Texte de bulles Car"/>
    <w:basedOn w:val="11"/>
    <w:link w:val="5"/>
    <w:semiHidden/>
    <w:qFormat/>
    <w:uiPriority w:val="99"/>
    <w:rPr>
      <w:rFonts w:ascii="Lucida Grande" w:hAnsi="Lucida Grande"/>
      <w:sz w:val="18"/>
      <w:szCs w:val="18"/>
    </w:rPr>
  </w:style>
  <w:style w:type="character" w:customStyle="1" w:styleId="21">
    <w:name w:val="reference_id"/>
    <w:basedOn w:val="11"/>
    <w:qFormat/>
    <w:uiPriority w:val="1"/>
    <w:rPr>
      <w:vertAlign w:val="superscript"/>
    </w:rPr>
  </w:style>
  <w:style w:type="paragraph" w:customStyle="1" w:styleId="22">
    <w:name w:val="graphic title"/>
    <w:basedOn w:val="18"/>
    <w:next w:val="1"/>
    <w:qFormat/>
    <w:uiPriority w:val="0"/>
  </w:style>
  <w:style w:type="paragraph" w:customStyle="1" w:styleId="23">
    <w:name w:val="table title"/>
    <w:basedOn w:val="19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505</Words>
  <Characters>3862</Characters>
  <Lines>0</Lines>
  <Paragraphs>0</Paragraphs>
  <TotalTime>1</TotalTime>
  <ScaleCrop>false</ScaleCrop>
  <LinksUpToDate>false</LinksUpToDate>
  <CharactersWithSpaces>3951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2017-02-28T11:18:00Z</dcterms:created>
  <dc:creator>李展</dc:creator>
  <cp:lastModifiedBy>李展</cp:lastModifiedBy>
  <dcterms:modified xsi:type="dcterms:W3CDTF">2025-11-19T13:58:39Z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3094DBEA382B4539B63C2888B424A510_13</vt:lpwstr>
  </property>
  <property fmtid="{D5CDD505-2E9C-101B-9397-08002B2CF9AE}" pid="4" name="KSOTemplateDocerSaveRecord">
    <vt:lpwstr>eyJoZGlkIjoiYmY2MDgxYTk1ZGFmZjZhMzk1MTliOGNhYTNmZDU1NjQiLCJ1c2VySWQiOiI2NTA2MjgyODMifQ==</vt:lpwstr>
  </property>
</Properties>
</file>